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A123D" w14:textId="77777777" w:rsidR="008F45C7" w:rsidRDefault="008F45C7" w:rsidP="004A452D">
      <w:pPr>
        <w:rPr>
          <w:rFonts w:ascii="Arial" w:hAnsi="Arial" w:cs="Arial"/>
          <w:bCs/>
          <w:color w:val="F57E20"/>
          <w:kern w:val="0"/>
          <w:sz w:val="48"/>
          <w:szCs w:val="32"/>
          <w:lang w:val="en-US"/>
          <w14:ligatures w14:val="none"/>
        </w:rPr>
      </w:pPr>
    </w:p>
    <w:p w14:paraId="5EE0FF0D" w14:textId="54025EC2" w:rsidR="009F4A42" w:rsidRPr="008C6A31" w:rsidRDefault="004A452D" w:rsidP="004A452D">
      <w:pPr>
        <w:rPr>
          <w:rFonts w:ascii="Arial" w:hAnsi="Arial" w:cs="Arial"/>
          <w:bCs/>
          <w:color w:val="F57E20"/>
          <w:kern w:val="0"/>
          <w:sz w:val="48"/>
          <w:szCs w:val="32"/>
          <w:lang w:val="en-US"/>
          <w14:ligatures w14:val="none"/>
        </w:rPr>
      </w:pPr>
      <w:proofErr w:type="spellStart"/>
      <w:r>
        <w:rPr>
          <w:rFonts w:ascii="Arial" w:hAnsi="Arial" w:cs="Arial"/>
          <w:bCs/>
          <w:color w:val="F57E20"/>
          <w:kern w:val="0"/>
          <w:sz w:val="48"/>
          <w:szCs w:val="32"/>
          <w:lang w:val="en-US"/>
          <w14:ligatures w14:val="none"/>
        </w:rPr>
        <w:t>B</w:t>
      </w:r>
      <w:r w:rsidR="0014058D" w:rsidRPr="008C6A31">
        <w:rPr>
          <w:rFonts w:ascii="Arial" w:hAnsi="Arial" w:cs="Arial"/>
          <w:bCs/>
          <w:color w:val="F57E20"/>
          <w:kern w:val="0"/>
          <w:sz w:val="48"/>
          <w:szCs w:val="32"/>
          <w:lang w:val="en-US"/>
          <w14:ligatures w14:val="none"/>
        </w:rPr>
        <w:t>ehaviour</w:t>
      </w:r>
      <w:proofErr w:type="spellEnd"/>
      <w:r w:rsidR="0014058D" w:rsidRPr="008C6A31">
        <w:rPr>
          <w:rFonts w:ascii="Arial" w:hAnsi="Arial" w:cs="Arial"/>
          <w:bCs/>
          <w:color w:val="F57E20"/>
          <w:kern w:val="0"/>
          <w:sz w:val="48"/>
          <w:szCs w:val="32"/>
          <w:lang w:val="en-US"/>
          <w14:ligatures w14:val="none"/>
        </w:rPr>
        <w:t xml:space="preserve"> Management Policy</w:t>
      </w:r>
    </w:p>
    <w:p w14:paraId="0213ACDA" w14:textId="77777777" w:rsidR="00E46EE4" w:rsidRDefault="00E46EE4" w:rsidP="00E46EE4">
      <w:pPr>
        <w:spacing w:line="240" w:lineRule="auto"/>
        <w:ind w:left="426"/>
        <w:rPr>
          <w:rFonts w:ascii="Arial" w:eastAsiaTheme="minorEastAsia" w:hAnsi="Arial" w:cs="Arial"/>
          <w:color w:val="F57E20"/>
          <w:kern w:val="0"/>
          <w:sz w:val="32"/>
          <w:szCs w:val="30"/>
          <w:lang w:val="en-US"/>
          <w14:ligatures w14:val="none"/>
        </w:rPr>
      </w:pPr>
    </w:p>
    <w:p w14:paraId="00703990" w14:textId="2E997BDC" w:rsidR="009F4A42" w:rsidRPr="00E46EE4" w:rsidRDefault="009F4A42" w:rsidP="00E46EE4">
      <w:pPr>
        <w:pStyle w:val="ListParagraph"/>
        <w:numPr>
          <w:ilvl w:val="0"/>
          <w:numId w:val="18"/>
        </w:numPr>
        <w:spacing w:line="240" w:lineRule="auto"/>
        <w:ind w:left="426"/>
        <w:rPr>
          <w:rFonts w:ascii="Arial" w:eastAsiaTheme="minorEastAsia" w:hAnsi="Arial" w:cs="Arial"/>
          <w:b/>
          <w:bCs/>
          <w:color w:val="F57E20"/>
          <w:kern w:val="0"/>
          <w:sz w:val="32"/>
          <w:szCs w:val="30"/>
          <w:lang w:val="en-US"/>
          <w14:ligatures w14:val="none"/>
        </w:rPr>
      </w:pPr>
      <w:r w:rsidRPr="00E46EE4">
        <w:rPr>
          <w:rFonts w:ascii="Arial" w:eastAsiaTheme="minorEastAsia" w:hAnsi="Arial" w:cs="Arial"/>
          <w:b/>
          <w:bCs/>
          <w:color w:val="F57E20"/>
          <w:kern w:val="0"/>
          <w:sz w:val="32"/>
          <w:szCs w:val="30"/>
          <w:lang w:val="en-US"/>
          <w14:ligatures w14:val="none"/>
        </w:rPr>
        <w:t>Purpose</w:t>
      </w:r>
    </w:p>
    <w:p w14:paraId="1AD0CBCB" w14:textId="77777777" w:rsidR="009F4A42" w:rsidRDefault="009F4A42">
      <w:r>
        <w:t xml:space="preserve">This policy establishes guidelines for the development and management of the Student Code of Conduct. </w:t>
      </w:r>
    </w:p>
    <w:p w14:paraId="4394BA5D" w14:textId="75135F87" w:rsidR="009F4A42" w:rsidRDefault="009F4A42">
      <w:r>
        <w:t xml:space="preserve">Each enrolled student has the right to participate in activities free from behaviour that may impair their learning, </w:t>
      </w:r>
      <w:proofErr w:type="gramStart"/>
      <w:r>
        <w:t>safety</w:t>
      </w:r>
      <w:proofErr w:type="gramEnd"/>
      <w:r>
        <w:t xml:space="preserve"> and well-being. Each enrolled student is also responsible for ensuring they do not adversely affect college property or the learning, work, </w:t>
      </w:r>
      <w:proofErr w:type="gramStart"/>
      <w:r>
        <w:t>safety</w:t>
      </w:r>
      <w:proofErr w:type="gramEnd"/>
      <w:r>
        <w:t xml:space="preserve"> and well-being of any other college individual. </w:t>
      </w:r>
    </w:p>
    <w:p w14:paraId="2E6A7BDF" w14:textId="199350F0" w:rsidR="009F4A42" w:rsidRDefault="009F4A42">
      <w:r>
        <w:t>The Student Code of Conduct is to be made available to all prospective and enrolled students.</w:t>
      </w:r>
    </w:p>
    <w:p w14:paraId="291F6AAB" w14:textId="77777777" w:rsidR="009F4A42" w:rsidRPr="00E46EE4" w:rsidRDefault="009F4A42">
      <w:pPr>
        <w:rPr>
          <w:b/>
          <w:bCs/>
        </w:rPr>
      </w:pPr>
    </w:p>
    <w:p w14:paraId="568906A3" w14:textId="74A1B501" w:rsidR="00567C0C" w:rsidRPr="00E46EE4" w:rsidRDefault="00567C0C" w:rsidP="00E46EE4">
      <w:pPr>
        <w:numPr>
          <w:ilvl w:val="0"/>
          <w:numId w:val="15"/>
        </w:numPr>
        <w:spacing w:line="240" w:lineRule="auto"/>
        <w:ind w:left="0" w:firstLine="0"/>
        <w:rPr>
          <w:rFonts w:ascii="Arial" w:eastAsiaTheme="minorEastAsia" w:hAnsi="Arial" w:cs="Arial"/>
          <w:b/>
          <w:bCs/>
          <w:color w:val="F57E20"/>
          <w:kern w:val="0"/>
          <w:sz w:val="32"/>
          <w:szCs w:val="30"/>
          <w:lang w:val="en-US"/>
          <w14:ligatures w14:val="none"/>
        </w:rPr>
      </w:pPr>
      <w:r w:rsidRPr="00E46EE4">
        <w:rPr>
          <w:rFonts w:ascii="Arial" w:eastAsiaTheme="minorEastAsia" w:hAnsi="Arial" w:cs="Arial"/>
          <w:b/>
          <w:bCs/>
          <w:color w:val="F57E20"/>
          <w:kern w:val="0"/>
          <w:sz w:val="32"/>
          <w:szCs w:val="30"/>
          <w:lang w:val="en-US"/>
          <w14:ligatures w14:val="none"/>
        </w:rPr>
        <w:t>Scope</w:t>
      </w:r>
    </w:p>
    <w:p w14:paraId="5487C390" w14:textId="77D86ED9" w:rsidR="00567C0C" w:rsidRDefault="00567C0C">
      <w:r>
        <w:t>This policy applies to all vocational education and training student</w:t>
      </w:r>
      <w:r w:rsidR="008F45C7">
        <w:t>s</w:t>
      </w:r>
      <w:r>
        <w:t xml:space="preserve"> enrolled at North Regional TAFE (NR TAFE). </w:t>
      </w:r>
    </w:p>
    <w:p w14:paraId="432FF912" w14:textId="77777777" w:rsidR="00567C0C" w:rsidRDefault="00567C0C">
      <w:r>
        <w:t xml:space="preserve">This policy refers to academic misbehaviour as well as general misbehaviour of students enrolled at NR TAFE. </w:t>
      </w:r>
    </w:p>
    <w:p w14:paraId="0E0505DA" w14:textId="17340EFF" w:rsidR="009F4A42" w:rsidRDefault="00567C0C">
      <w:r>
        <w:t xml:space="preserve">Students who display at risk behaviours, when identified, are to be managed through the </w:t>
      </w:r>
      <w:r w:rsidRPr="002F0AD8">
        <w:t>Students at Risk Policy and Procedures.</w:t>
      </w:r>
    </w:p>
    <w:p w14:paraId="2F622AEC" w14:textId="77777777" w:rsidR="00567C0C" w:rsidRPr="00E46EE4" w:rsidRDefault="00567C0C">
      <w:pPr>
        <w:rPr>
          <w:b/>
          <w:bCs/>
        </w:rPr>
      </w:pPr>
    </w:p>
    <w:p w14:paraId="25A0FCB1" w14:textId="6EECC085" w:rsidR="00567C0C" w:rsidRPr="00E46EE4" w:rsidRDefault="00567C0C" w:rsidP="00E46EE4">
      <w:pPr>
        <w:numPr>
          <w:ilvl w:val="0"/>
          <w:numId w:val="15"/>
        </w:numPr>
        <w:spacing w:line="240" w:lineRule="auto"/>
        <w:ind w:left="0" w:firstLine="0"/>
        <w:rPr>
          <w:rFonts w:ascii="Arial" w:eastAsiaTheme="minorEastAsia" w:hAnsi="Arial" w:cs="Arial"/>
          <w:b/>
          <w:bCs/>
          <w:color w:val="F57E20"/>
          <w:kern w:val="0"/>
          <w:sz w:val="32"/>
          <w:szCs w:val="30"/>
          <w:lang w:val="en-US"/>
          <w14:ligatures w14:val="none"/>
        </w:rPr>
      </w:pPr>
      <w:r w:rsidRPr="00E46EE4">
        <w:rPr>
          <w:rFonts w:ascii="Arial" w:eastAsiaTheme="minorEastAsia" w:hAnsi="Arial" w:cs="Arial"/>
          <w:b/>
          <w:bCs/>
          <w:color w:val="F57E20"/>
          <w:kern w:val="0"/>
          <w:sz w:val="32"/>
          <w:szCs w:val="30"/>
          <w:lang w:val="en-US"/>
          <w14:ligatures w14:val="none"/>
        </w:rPr>
        <w:t>Policy Governance</w:t>
      </w:r>
    </w:p>
    <w:p w14:paraId="79F94048" w14:textId="56033A20" w:rsidR="00567C0C" w:rsidRDefault="00567C0C" w:rsidP="00567C0C">
      <w:pPr>
        <w:pStyle w:val="ListParagraph"/>
        <w:numPr>
          <w:ilvl w:val="0"/>
          <w:numId w:val="2"/>
        </w:numPr>
      </w:pPr>
      <w:r>
        <w:t>North Regional TAFE by-laws</w:t>
      </w:r>
    </w:p>
    <w:p w14:paraId="41F26449" w14:textId="616EC134" w:rsidR="00567C0C" w:rsidRDefault="00567C0C" w:rsidP="00567C0C">
      <w:pPr>
        <w:pStyle w:val="ListParagraph"/>
        <w:numPr>
          <w:ilvl w:val="0"/>
          <w:numId w:val="2"/>
        </w:numPr>
      </w:pPr>
      <w:r>
        <w:t>North Regional TAFE Student Code of Conduct</w:t>
      </w:r>
    </w:p>
    <w:p w14:paraId="4994C503" w14:textId="66920A2A" w:rsidR="00567C0C" w:rsidRDefault="00567C0C" w:rsidP="00567C0C">
      <w:pPr>
        <w:pStyle w:val="ListParagraph"/>
        <w:numPr>
          <w:ilvl w:val="0"/>
          <w:numId w:val="2"/>
        </w:numPr>
      </w:pPr>
      <w:r>
        <w:t>Enrolment Terms and Conditions</w:t>
      </w:r>
    </w:p>
    <w:p w14:paraId="1BF8B471" w14:textId="1F4035BA" w:rsidR="00567C0C" w:rsidRDefault="00567C0C" w:rsidP="00567C0C">
      <w:pPr>
        <w:pStyle w:val="ListParagraph"/>
        <w:numPr>
          <w:ilvl w:val="0"/>
          <w:numId w:val="2"/>
        </w:numPr>
      </w:pPr>
      <w:r>
        <w:t xml:space="preserve">Academic Appeals </w:t>
      </w:r>
      <w:r w:rsidR="00186179">
        <w:t>Procedure</w:t>
      </w:r>
    </w:p>
    <w:p w14:paraId="1666625D" w14:textId="64440A34" w:rsidR="00567C0C" w:rsidRDefault="00567C0C" w:rsidP="00567C0C">
      <w:pPr>
        <w:pStyle w:val="ListParagraph"/>
        <w:numPr>
          <w:ilvl w:val="0"/>
          <w:numId w:val="2"/>
        </w:numPr>
      </w:pPr>
      <w:r>
        <w:t>Standards for Registered Training Organisations (2015)</w:t>
      </w:r>
    </w:p>
    <w:p w14:paraId="070A6090" w14:textId="77777777" w:rsidR="00567C0C" w:rsidRDefault="00567C0C" w:rsidP="00567C0C"/>
    <w:p w14:paraId="2C41AE61" w14:textId="20749010" w:rsidR="00567C0C" w:rsidRPr="00E46EE4" w:rsidRDefault="00567C0C" w:rsidP="00E46EE4">
      <w:pPr>
        <w:numPr>
          <w:ilvl w:val="0"/>
          <w:numId w:val="15"/>
        </w:numPr>
        <w:spacing w:line="240" w:lineRule="auto"/>
        <w:ind w:left="0" w:firstLine="0"/>
        <w:rPr>
          <w:rFonts w:ascii="Arial" w:eastAsiaTheme="minorEastAsia" w:hAnsi="Arial" w:cs="Arial"/>
          <w:b/>
          <w:bCs/>
          <w:color w:val="F57E20"/>
          <w:kern w:val="0"/>
          <w:sz w:val="32"/>
          <w:szCs w:val="30"/>
          <w:lang w:val="en-US"/>
          <w14:ligatures w14:val="none"/>
        </w:rPr>
      </w:pPr>
      <w:r w:rsidRPr="00E46EE4">
        <w:rPr>
          <w:rFonts w:ascii="Arial" w:eastAsiaTheme="minorEastAsia" w:hAnsi="Arial" w:cs="Arial"/>
          <w:b/>
          <w:bCs/>
          <w:color w:val="F57E20"/>
          <w:kern w:val="0"/>
          <w:sz w:val="32"/>
          <w:szCs w:val="30"/>
          <w:lang w:val="en-US"/>
          <w14:ligatures w14:val="none"/>
        </w:rPr>
        <w:t>Key terms</w:t>
      </w:r>
    </w:p>
    <w:tbl>
      <w:tblPr>
        <w:tblStyle w:val="TableGrid"/>
        <w:tblW w:w="0" w:type="auto"/>
        <w:tblLook w:val="04A0" w:firstRow="1" w:lastRow="0" w:firstColumn="1" w:lastColumn="0" w:noHBand="0" w:noVBand="1"/>
      </w:tblPr>
      <w:tblGrid>
        <w:gridCol w:w="2547"/>
        <w:gridCol w:w="6469"/>
      </w:tblGrid>
      <w:tr w:rsidR="00567C0C" w14:paraId="410568F1" w14:textId="77777777" w:rsidTr="00567C0C">
        <w:tc>
          <w:tcPr>
            <w:tcW w:w="2547" w:type="dxa"/>
          </w:tcPr>
          <w:p w14:paraId="6A31B6E0" w14:textId="65D4FBE8" w:rsidR="00567C0C" w:rsidRPr="00186179" w:rsidRDefault="00567C0C" w:rsidP="00567C0C">
            <w:pPr>
              <w:rPr>
                <w:b/>
                <w:bCs/>
              </w:rPr>
            </w:pPr>
            <w:r w:rsidRPr="00186179">
              <w:rPr>
                <w:b/>
                <w:bCs/>
              </w:rPr>
              <w:t>Academic Misbehaviour</w:t>
            </w:r>
          </w:p>
        </w:tc>
        <w:tc>
          <w:tcPr>
            <w:tcW w:w="6469" w:type="dxa"/>
          </w:tcPr>
          <w:p w14:paraId="1041A28B" w14:textId="2582E445" w:rsidR="00567C0C" w:rsidRDefault="00567C0C" w:rsidP="00567C0C">
            <w:r>
              <w:t>Includes (but is not limited to) behaviour such as a student’s poor attendance record or non-attendance in class; cheating and plagiarism; no submission of assessment</w:t>
            </w:r>
          </w:p>
        </w:tc>
      </w:tr>
      <w:tr w:rsidR="00567C0C" w14:paraId="34AC2BE4" w14:textId="77777777" w:rsidTr="00567C0C">
        <w:tc>
          <w:tcPr>
            <w:tcW w:w="2547" w:type="dxa"/>
          </w:tcPr>
          <w:p w14:paraId="6322B047" w14:textId="6FB86F09" w:rsidR="00567C0C" w:rsidRPr="00186179" w:rsidRDefault="00567C0C" w:rsidP="00567C0C">
            <w:pPr>
              <w:rPr>
                <w:b/>
                <w:bCs/>
              </w:rPr>
            </w:pPr>
            <w:r w:rsidRPr="00186179">
              <w:rPr>
                <w:b/>
                <w:bCs/>
              </w:rPr>
              <w:t>Accredited course</w:t>
            </w:r>
          </w:p>
        </w:tc>
        <w:tc>
          <w:tcPr>
            <w:tcW w:w="6469" w:type="dxa"/>
          </w:tcPr>
          <w:p w14:paraId="44D18370" w14:textId="2BECEF14" w:rsidR="00A73093" w:rsidRDefault="00567C0C" w:rsidP="00567C0C">
            <w:r>
              <w:t>Nationally recognised coursed that address skills requirements for industry, enterprises, and the community not covered in a nationally endorsed Training Package</w:t>
            </w:r>
          </w:p>
        </w:tc>
      </w:tr>
    </w:tbl>
    <w:p w14:paraId="3B9CAA62" w14:textId="77777777" w:rsidR="00A73093" w:rsidRDefault="00A73093"/>
    <w:p w14:paraId="4CCA6185" w14:textId="77777777" w:rsidR="00890F76" w:rsidRDefault="00890F76"/>
    <w:p w14:paraId="65E41013" w14:textId="77777777" w:rsidR="00890F76" w:rsidRDefault="00890F76"/>
    <w:tbl>
      <w:tblPr>
        <w:tblStyle w:val="TableGrid"/>
        <w:tblW w:w="0" w:type="auto"/>
        <w:tblLook w:val="04A0" w:firstRow="1" w:lastRow="0" w:firstColumn="1" w:lastColumn="0" w:noHBand="0" w:noVBand="1"/>
      </w:tblPr>
      <w:tblGrid>
        <w:gridCol w:w="2547"/>
        <w:gridCol w:w="6469"/>
      </w:tblGrid>
      <w:tr w:rsidR="00567C0C" w14:paraId="031AD867" w14:textId="77777777" w:rsidTr="00567C0C">
        <w:tc>
          <w:tcPr>
            <w:tcW w:w="2547" w:type="dxa"/>
          </w:tcPr>
          <w:p w14:paraId="507FCE55" w14:textId="4F623D3C" w:rsidR="00567C0C" w:rsidRPr="00186179" w:rsidRDefault="00636169" w:rsidP="00567C0C">
            <w:pPr>
              <w:rPr>
                <w:b/>
                <w:bCs/>
              </w:rPr>
            </w:pPr>
            <w:r w:rsidRPr="00186179">
              <w:rPr>
                <w:b/>
                <w:bCs/>
              </w:rPr>
              <w:t>Australian Qualifications Framework (AQF)</w:t>
            </w:r>
          </w:p>
        </w:tc>
        <w:tc>
          <w:tcPr>
            <w:tcW w:w="6469" w:type="dxa"/>
          </w:tcPr>
          <w:p w14:paraId="521B79C2" w14:textId="379B7988" w:rsidR="00567C0C" w:rsidRDefault="00636169" w:rsidP="00567C0C">
            <w:r>
              <w:t>The national policy for regulated qualifications in Australian education and training. It incorporates the qualifications from each education and training sector into a single comprehensive national qualifications framework.</w:t>
            </w:r>
          </w:p>
        </w:tc>
      </w:tr>
      <w:tr w:rsidR="00567C0C" w14:paraId="47ABEB8F" w14:textId="77777777" w:rsidTr="00567C0C">
        <w:tc>
          <w:tcPr>
            <w:tcW w:w="2547" w:type="dxa"/>
          </w:tcPr>
          <w:p w14:paraId="5F04B90E" w14:textId="15A1A2E2" w:rsidR="00567C0C" w:rsidRPr="00186179" w:rsidRDefault="00636169" w:rsidP="00567C0C">
            <w:pPr>
              <w:rPr>
                <w:b/>
                <w:bCs/>
              </w:rPr>
            </w:pPr>
            <w:r w:rsidRPr="00186179">
              <w:rPr>
                <w:b/>
                <w:bCs/>
              </w:rPr>
              <w:t>By-Laws</w:t>
            </w:r>
          </w:p>
        </w:tc>
        <w:tc>
          <w:tcPr>
            <w:tcW w:w="6469" w:type="dxa"/>
          </w:tcPr>
          <w:p w14:paraId="533C3436" w14:textId="211573BC" w:rsidR="00567C0C" w:rsidRDefault="00636169" w:rsidP="00567C0C">
            <w:r>
              <w:t>The rules and regulations governing the actions of SM TAFE towards its stakeholders.</w:t>
            </w:r>
          </w:p>
        </w:tc>
      </w:tr>
      <w:tr w:rsidR="00567C0C" w14:paraId="208F97B9" w14:textId="77777777" w:rsidTr="00567C0C">
        <w:tc>
          <w:tcPr>
            <w:tcW w:w="2547" w:type="dxa"/>
          </w:tcPr>
          <w:p w14:paraId="33AB3AB4" w14:textId="018209ED" w:rsidR="00567C0C" w:rsidRPr="00186179" w:rsidRDefault="00636169" w:rsidP="00567C0C">
            <w:pPr>
              <w:rPr>
                <w:b/>
                <w:bCs/>
              </w:rPr>
            </w:pPr>
            <w:r w:rsidRPr="00186179">
              <w:rPr>
                <w:b/>
                <w:bCs/>
              </w:rPr>
              <w:t>DTWD: Department of Training and Workforce Development</w:t>
            </w:r>
          </w:p>
        </w:tc>
        <w:tc>
          <w:tcPr>
            <w:tcW w:w="6469" w:type="dxa"/>
          </w:tcPr>
          <w:p w14:paraId="4AF7D412" w14:textId="6572E010" w:rsidR="00567C0C" w:rsidRDefault="00636169" w:rsidP="00567C0C">
            <w:r>
              <w:t>A state government body which has been established to support the State’s sustained economic expansion by leading and coordinating workforce development strategies and driving a responsive, flexible training system within a State and National framework.</w:t>
            </w:r>
          </w:p>
        </w:tc>
      </w:tr>
      <w:tr w:rsidR="00636169" w14:paraId="1A54E5A5" w14:textId="77777777" w:rsidTr="00567C0C">
        <w:tc>
          <w:tcPr>
            <w:tcW w:w="2547" w:type="dxa"/>
          </w:tcPr>
          <w:p w14:paraId="4402C50F" w14:textId="3E09049F" w:rsidR="00636169" w:rsidRPr="00186179" w:rsidRDefault="00636169" w:rsidP="00567C0C">
            <w:pPr>
              <w:rPr>
                <w:b/>
                <w:bCs/>
              </w:rPr>
            </w:pPr>
            <w:r w:rsidRPr="00186179">
              <w:rPr>
                <w:b/>
                <w:bCs/>
              </w:rPr>
              <w:t>General Misbehaviour</w:t>
            </w:r>
          </w:p>
        </w:tc>
        <w:tc>
          <w:tcPr>
            <w:tcW w:w="6469" w:type="dxa"/>
          </w:tcPr>
          <w:p w14:paraId="394EAD23" w14:textId="3162B1B6" w:rsidR="00636169" w:rsidRDefault="00636169" w:rsidP="00567C0C">
            <w:r>
              <w:t xml:space="preserve">Includes (but is not limited to) behaviour such as bulling, harassment, discrimination, smoking / vaping on premises, rude and disruptive behaviour and language, and vandalism of college facilities, </w:t>
            </w:r>
            <w:proofErr w:type="gramStart"/>
            <w:r>
              <w:t>resources</w:t>
            </w:r>
            <w:proofErr w:type="gramEnd"/>
            <w:r>
              <w:t xml:space="preserve"> and property.</w:t>
            </w:r>
          </w:p>
        </w:tc>
      </w:tr>
      <w:tr w:rsidR="00636169" w14:paraId="64644F57" w14:textId="77777777" w:rsidTr="00567C0C">
        <w:tc>
          <w:tcPr>
            <w:tcW w:w="2547" w:type="dxa"/>
          </w:tcPr>
          <w:p w14:paraId="6A311322" w14:textId="38FC2000" w:rsidR="00636169" w:rsidRPr="00186179" w:rsidRDefault="00636169" w:rsidP="00567C0C">
            <w:pPr>
              <w:rPr>
                <w:b/>
                <w:bCs/>
              </w:rPr>
            </w:pPr>
            <w:r w:rsidRPr="00186179">
              <w:rPr>
                <w:b/>
                <w:bCs/>
              </w:rPr>
              <w:t>Qualification</w:t>
            </w:r>
          </w:p>
        </w:tc>
        <w:tc>
          <w:tcPr>
            <w:tcW w:w="6469" w:type="dxa"/>
          </w:tcPr>
          <w:p w14:paraId="77B7E1F4" w14:textId="67323F6E" w:rsidR="00636169" w:rsidRDefault="00636169" w:rsidP="00567C0C">
            <w:r>
              <w:t>A formal certification, issued by a relevant approved body, in recognition that a person has achieved learning outcomes or competencies relevant to identified individual, professional, industry or community needs.</w:t>
            </w:r>
          </w:p>
        </w:tc>
      </w:tr>
      <w:tr w:rsidR="00636169" w14:paraId="435D8B41" w14:textId="77777777" w:rsidTr="00567C0C">
        <w:tc>
          <w:tcPr>
            <w:tcW w:w="2547" w:type="dxa"/>
          </w:tcPr>
          <w:p w14:paraId="22382EEB" w14:textId="6B71814F" w:rsidR="00636169" w:rsidRPr="00186179" w:rsidRDefault="00636169" w:rsidP="00567C0C">
            <w:pPr>
              <w:rPr>
                <w:b/>
                <w:bCs/>
              </w:rPr>
            </w:pPr>
            <w:r w:rsidRPr="00186179">
              <w:rPr>
                <w:b/>
                <w:bCs/>
              </w:rPr>
              <w:t>Students at Risk</w:t>
            </w:r>
          </w:p>
        </w:tc>
        <w:tc>
          <w:tcPr>
            <w:tcW w:w="6469" w:type="dxa"/>
          </w:tcPr>
          <w:p w14:paraId="606CA75D" w14:textId="152F90D6" w:rsidR="00636169" w:rsidRDefault="00636169" w:rsidP="00567C0C">
            <w:r>
              <w:t xml:space="preserve">Includes (but is not limited to) behaviour of students showing signs of psychological, </w:t>
            </w:r>
            <w:proofErr w:type="gramStart"/>
            <w:r>
              <w:t>emotional</w:t>
            </w:r>
            <w:proofErr w:type="gramEnd"/>
            <w:r>
              <w:t xml:space="preserve"> or physical distress and or inflicting harm and duress onto themselves of others.</w:t>
            </w:r>
          </w:p>
        </w:tc>
      </w:tr>
      <w:tr w:rsidR="00636169" w14:paraId="4EC17580" w14:textId="77777777" w:rsidTr="00567C0C">
        <w:tc>
          <w:tcPr>
            <w:tcW w:w="2547" w:type="dxa"/>
          </w:tcPr>
          <w:p w14:paraId="3CBA67D7" w14:textId="5D0A94BB" w:rsidR="00636169" w:rsidRPr="00186179" w:rsidRDefault="00636169" w:rsidP="00567C0C">
            <w:pPr>
              <w:rPr>
                <w:b/>
                <w:bCs/>
              </w:rPr>
            </w:pPr>
            <w:r w:rsidRPr="00186179">
              <w:rPr>
                <w:b/>
                <w:bCs/>
              </w:rPr>
              <w:t>Student Management Agreement</w:t>
            </w:r>
          </w:p>
        </w:tc>
        <w:tc>
          <w:tcPr>
            <w:tcW w:w="6469" w:type="dxa"/>
          </w:tcPr>
          <w:p w14:paraId="562E7168" w14:textId="6C97C1B9" w:rsidR="00636169" w:rsidRDefault="00636169" w:rsidP="00567C0C">
            <w:r>
              <w:t>Refers to an agreement between SM TAFE and an enrolled student or their parent/guardian (where applicable) implemented to address a breach of the Student Code of Conduct.</w:t>
            </w:r>
          </w:p>
        </w:tc>
      </w:tr>
    </w:tbl>
    <w:p w14:paraId="557A6860" w14:textId="09781100" w:rsidR="00567C0C" w:rsidRDefault="00567C0C" w:rsidP="00567C0C"/>
    <w:p w14:paraId="6C5E33FD" w14:textId="616E0171" w:rsidR="00636169" w:rsidRPr="00E46EE4" w:rsidRDefault="00636169" w:rsidP="008F45C7">
      <w:pPr>
        <w:numPr>
          <w:ilvl w:val="0"/>
          <w:numId w:val="15"/>
        </w:numPr>
        <w:spacing w:line="240" w:lineRule="auto"/>
        <w:ind w:left="0" w:firstLine="0"/>
        <w:rPr>
          <w:rFonts w:ascii="Arial" w:eastAsiaTheme="minorEastAsia" w:hAnsi="Arial" w:cs="Arial"/>
          <w:b/>
          <w:bCs/>
          <w:color w:val="F57E20"/>
          <w:kern w:val="0"/>
          <w:sz w:val="32"/>
          <w:szCs w:val="30"/>
          <w:lang w:val="en-US"/>
          <w14:ligatures w14:val="none"/>
        </w:rPr>
      </w:pPr>
      <w:r w:rsidRPr="008F45C7">
        <w:rPr>
          <w:rFonts w:ascii="Arial" w:eastAsiaTheme="minorEastAsia" w:hAnsi="Arial" w:cs="Arial"/>
          <w:b/>
          <w:bCs/>
          <w:color w:val="F57E20"/>
          <w:kern w:val="0"/>
          <w:sz w:val="32"/>
          <w:szCs w:val="30"/>
          <w:lang w:val="en-US"/>
          <w14:ligatures w14:val="none"/>
        </w:rPr>
        <w:t xml:space="preserve"> </w:t>
      </w:r>
      <w:r w:rsidRPr="00E46EE4">
        <w:rPr>
          <w:rFonts w:ascii="Arial" w:eastAsiaTheme="minorEastAsia" w:hAnsi="Arial" w:cs="Arial"/>
          <w:b/>
          <w:bCs/>
          <w:color w:val="F57E20"/>
          <w:kern w:val="0"/>
          <w:sz w:val="32"/>
          <w:szCs w:val="30"/>
          <w:lang w:val="en-US"/>
          <w14:ligatures w14:val="none"/>
        </w:rPr>
        <w:t>Principles</w:t>
      </w:r>
    </w:p>
    <w:p w14:paraId="6D64C6D6" w14:textId="77777777" w:rsidR="00636169" w:rsidRDefault="00636169" w:rsidP="00567C0C">
      <w:r>
        <w:t xml:space="preserve">All college staff must encourage and promote appropriate student behaviour and observance of the Student Code of Conduct. </w:t>
      </w:r>
    </w:p>
    <w:p w14:paraId="2BFCBFC6" w14:textId="77777777" w:rsidR="00636169" w:rsidRDefault="00636169" w:rsidP="00567C0C">
      <w:r>
        <w:t xml:space="preserve">Each enrolled student has the right to participate in activities free from behaviour that may impair their learning, </w:t>
      </w:r>
      <w:proofErr w:type="gramStart"/>
      <w:r>
        <w:t>safety</w:t>
      </w:r>
      <w:proofErr w:type="gramEnd"/>
      <w:r>
        <w:t xml:space="preserve"> and well-being. Each enrolled student is also responsible for ensuring they do not adversely affect college property or the learning, work, </w:t>
      </w:r>
      <w:proofErr w:type="gramStart"/>
      <w:r>
        <w:t>safety</w:t>
      </w:r>
      <w:proofErr w:type="gramEnd"/>
      <w:r>
        <w:t xml:space="preserve"> and well-being of any other college individual. </w:t>
      </w:r>
    </w:p>
    <w:p w14:paraId="34EA10E8" w14:textId="0A0F2E90" w:rsidR="00636169" w:rsidRDefault="00636169" w:rsidP="00567C0C">
      <w:r>
        <w:t xml:space="preserve">Students are expected to </w:t>
      </w:r>
      <w:proofErr w:type="gramStart"/>
      <w:r>
        <w:t>ensure their actions or inactions at all times</w:t>
      </w:r>
      <w:proofErr w:type="gramEnd"/>
      <w:r>
        <w:t xml:space="preserve"> as an identifiable student of NR TAFE do not harm, or bring into disrepute, the College’s reputation or good standing.</w:t>
      </w:r>
    </w:p>
    <w:p w14:paraId="13CD1DBF" w14:textId="77777777" w:rsidR="00636169" w:rsidRDefault="00636169" w:rsidP="00567C0C"/>
    <w:p w14:paraId="3969D81A" w14:textId="4D7DDEA1" w:rsidR="00636169" w:rsidRPr="00E46EE4" w:rsidRDefault="00636169" w:rsidP="00E46EE4">
      <w:pPr>
        <w:pStyle w:val="ListParagraph"/>
        <w:numPr>
          <w:ilvl w:val="1"/>
          <w:numId w:val="21"/>
        </w:numPr>
        <w:spacing w:line="240" w:lineRule="auto"/>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Hostile students</w:t>
      </w:r>
    </w:p>
    <w:p w14:paraId="798CE1A0" w14:textId="2550DCBD" w:rsidR="00636169" w:rsidRDefault="00636169" w:rsidP="0060353C">
      <w:pPr>
        <w:ind w:left="207"/>
      </w:pPr>
      <w:r>
        <w:t>Where an enrolled student is verbally or physically hostile, whether provoked or not, a college staff member may reasonably determine, for the safety and well-being of the enrolled student and/or other individuals, that the enrolled student be removed from a college classroom or campus. College staff may engage Campus Services to assist with such removal who may in turn engage security personnel and/or law enforcement agency staff to assist.</w:t>
      </w:r>
    </w:p>
    <w:p w14:paraId="5B890ECE" w14:textId="77777777" w:rsidR="00E46EE4" w:rsidRDefault="00E46EE4" w:rsidP="0060353C">
      <w:pPr>
        <w:ind w:left="207"/>
      </w:pPr>
    </w:p>
    <w:p w14:paraId="25E0AF8C" w14:textId="5F8BCF5E" w:rsidR="0060353C" w:rsidRPr="00E46EE4" w:rsidRDefault="0060353C" w:rsidP="00E46EE4">
      <w:pPr>
        <w:pStyle w:val="ListParagraph"/>
        <w:numPr>
          <w:ilvl w:val="1"/>
          <w:numId w:val="21"/>
        </w:numPr>
        <w:spacing w:line="240" w:lineRule="auto"/>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Breaches of the Student Code of Conduct</w:t>
      </w:r>
    </w:p>
    <w:p w14:paraId="7D21F12C" w14:textId="00E16B69" w:rsidR="004D1298" w:rsidRDefault="0060353C" w:rsidP="0060353C">
      <w:r>
        <w:t>Where a college staff member suspects an enrolled student has committed a breach of the Student Code of Conduct, and raising the issue with the student has failed to address the breach (minor breaches only), the staff member must refer the matter to the Training Manager of the learning area. The Training Manager must undertake reasonable investigation into the suspected breach to determine if the breach has occurred. The Training Manager should consult any party (applying privacy and confidentiality) as required as part of their investigation. Where a breach has occurred, the breach must be dealt with in accordance with the college by-laws and the Student Conduct of Conduct Breach Management Procedure.</w:t>
      </w:r>
    </w:p>
    <w:p w14:paraId="3280B852" w14:textId="77777777" w:rsidR="0060353C" w:rsidRDefault="0060353C" w:rsidP="0060353C"/>
    <w:p w14:paraId="15AAD5D3" w14:textId="219F16A8" w:rsidR="0060353C" w:rsidRPr="00E46EE4" w:rsidRDefault="0060353C" w:rsidP="0060353C">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Minor breach</w:t>
      </w:r>
    </w:p>
    <w:p w14:paraId="129C12AF" w14:textId="77777777" w:rsidR="0060353C" w:rsidRDefault="0060353C" w:rsidP="0060353C">
      <w:r>
        <w:t xml:space="preserve">A minor breach is any breach which is not a serious breach and that does not materially impact any individual or college property. </w:t>
      </w:r>
    </w:p>
    <w:p w14:paraId="664F2F63" w14:textId="77777777" w:rsidR="0060353C" w:rsidRDefault="0060353C" w:rsidP="00E46EE4">
      <w:pPr>
        <w:spacing w:after="0" w:line="240" w:lineRule="auto"/>
      </w:pPr>
      <w:r>
        <w:t xml:space="preserve">Typical examples of a minor breach include: </w:t>
      </w:r>
    </w:p>
    <w:p w14:paraId="01455374" w14:textId="77777777" w:rsidR="0060353C" w:rsidRDefault="0060353C" w:rsidP="0060353C">
      <w:pPr>
        <w:pStyle w:val="ListParagraph"/>
        <w:numPr>
          <w:ilvl w:val="0"/>
          <w:numId w:val="4"/>
        </w:numPr>
      </w:pPr>
      <w:r>
        <w:t xml:space="preserve">occurrences of minor </w:t>
      </w:r>
      <w:proofErr w:type="gramStart"/>
      <w:r>
        <w:t>littering;</w:t>
      </w:r>
      <w:proofErr w:type="gramEnd"/>
      <w:r>
        <w:t xml:space="preserve"> </w:t>
      </w:r>
    </w:p>
    <w:p w14:paraId="02871E9B" w14:textId="77777777" w:rsidR="0060353C" w:rsidRDefault="0060353C" w:rsidP="0060353C">
      <w:pPr>
        <w:pStyle w:val="ListParagraph"/>
        <w:numPr>
          <w:ilvl w:val="0"/>
          <w:numId w:val="4"/>
        </w:numPr>
      </w:pPr>
      <w:r>
        <w:t xml:space="preserve">limited use of profane or cursing </w:t>
      </w:r>
      <w:proofErr w:type="gramStart"/>
      <w:r>
        <w:t>language;</w:t>
      </w:r>
      <w:proofErr w:type="gramEnd"/>
      <w:r>
        <w:t xml:space="preserve"> </w:t>
      </w:r>
    </w:p>
    <w:p w14:paraId="7588271A" w14:textId="77777777" w:rsidR="002C16AD" w:rsidRDefault="0060353C" w:rsidP="002C16AD">
      <w:pPr>
        <w:pStyle w:val="ListParagraph"/>
        <w:numPr>
          <w:ilvl w:val="0"/>
          <w:numId w:val="4"/>
        </w:numPr>
      </w:pPr>
      <w:r>
        <w:t xml:space="preserve">smoking/vaping (first offence) on college </w:t>
      </w:r>
      <w:proofErr w:type="gramStart"/>
      <w:r>
        <w:t>campuses;</w:t>
      </w:r>
      <w:proofErr w:type="gramEnd"/>
      <w:r>
        <w:t xml:space="preserve"> </w:t>
      </w:r>
    </w:p>
    <w:p w14:paraId="5AB787E7" w14:textId="69D8211F" w:rsidR="0060353C" w:rsidRDefault="002C16AD" w:rsidP="002C16AD">
      <w:pPr>
        <w:pStyle w:val="ListParagraph"/>
        <w:numPr>
          <w:ilvl w:val="0"/>
          <w:numId w:val="4"/>
        </w:numPr>
      </w:pPr>
      <w:r>
        <w:t>continued use of mobile phone during class</w:t>
      </w:r>
      <w:r w:rsidR="001A2256">
        <w:t xml:space="preserve"> </w:t>
      </w:r>
      <w:r w:rsidR="0060353C">
        <w:t>or</w:t>
      </w:r>
      <w:r w:rsidR="00111019">
        <w:t xml:space="preserve"> excursions, or</w:t>
      </w:r>
      <w:r w:rsidR="0060353C">
        <w:t xml:space="preserve"> </w:t>
      </w:r>
    </w:p>
    <w:p w14:paraId="72F98CA4" w14:textId="12DA45E1" w:rsidR="0060353C" w:rsidRDefault="0060353C" w:rsidP="0060353C">
      <w:pPr>
        <w:pStyle w:val="ListParagraph"/>
        <w:numPr>
          <w:ilvl w:val="0"/>
          <w:numId w:val="4"/>
        </w:numPr>
      </w:pPr>
      <w:r>
        <w:t xml:space="preserve">riding bikes, </w:t>
      </w:r>
      <w:proofErr w:type="gramStart"/>
      <w:r>
        <w:t>skateboards</w:t>
      </w:r>
      <w:proofErr w:type="gramEnd"/>
      <w:r>
        <w:t xml:space="preserve"> or other such apparatus on campus.</w:t>
      </w:r>
    </w:p>
    <w:p w14:paraId="10518EAB" w14:textId="77777777" w:rsidR="0060353C" w:rsidRPr="00E46EE4" w:rsidRDefault="0060353C" w:rsidP="00E46EE4">
      <w:pPr>
        <w:pStyle w:val="ListParagraph"/>
        <w:ind w:left="360"/>
        <w:rPr>
          <w:rFonts w:ascii="Arial" w:eastAsiaTheme="minorEastAsia" w:hAnsi="Arial" w:cs="Arial"/>
          <w:b/>
          <w:bCs/>
          <w:color w:val="F57E20"/>
          <w:kern w:val="0"/>
          <w:sz w:val="26"/>
          <w:szCs w:val="24"/>
          <w:lang w:val="en-US"/>
          <w14:ligatures w14:val="none"/>
        </w:rPr>
      </w:pPr>
    </w:p>
    <w:p w14:paraId="0BDADE5E" w14:textId="1CE7A3E1" w:rsidR="0060353C" w:rsidRPr="00E46EE4" w:rsidRDefault="0060353C" w:rsidP="0060353C">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Serious Breach</w:t>
      </w:r>
    </w:p>
    <w:p w14:paraId="34B4FBBF" w14:textId="77777777" w:rsidR="0060353C" w:rsidRDefault="0060353C" w:rsidP="00E46EE4">
      <w:pPr>
        <w:spacing w:after="0" w:line="240" w:lineRule="auto"/>
      </w:pPr>
      <w:r>
        <w:t xml:space="preserve">A serious breach of the Student Code of Conduct includes any of the following: </w:t>
      </w:r>
    </w:p>
    <w:p w14:paraId="4320902A" w14:textId="77777777" w:rsidR="0060353C" w:rsidRDefault="0060353C" w:rsidP="00EB4F68">
      <w:pPr>
        <w:pStyle w:val="ListParagraph"/>
        <w:numPr>
          <w:ilvl w:val="0"/>
          <w:numId w:val="4"/>
        </w:numPr>
      </w:pPr>
      <w:r>
        <w:t>a breach of a Student Management Agreement</w:t>
      </w:r>
    </w:p>
    <w:p w14:paraId="0D1C975E" w14:textId="652121F5" w:rsidR="0060353C" w:rsidRDefault="0060353C" w:rsidP="00EB4F68">
      <w:pPr>
        <w:pStyle w:val="ListParagraph"/>
        <w:numPr>
          <w:ilvl w:val="0"/>
          <w:numId w:val="4"/>
        </w:numPr>
      </w:pPr>
      <w:r>
        <w:t>systemic breaches of the Student Code of Conduct.</w:t>
      </w:r>
    </w:p>
    <w:p w14:paraId="6C598C23" w14:textId="77777777" w:rsidR="0060353C" w:rsidRDefault="0060353C" w:rsidP="0060353C">
      <w:pPr>
        <w:pStyle w:val="ListParagraph"/>
      </w:pPr>
    </w:p>
    <w:p w14:paraId="5FABF22B" w14:textId="4F9FD819" w:rsidR="0060353C" w:rsidRPr="00E46EE4" w:rsidRDefault="0060353C" w:rsidP="0060353C">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Severe breach</w:t>
      </w:r>
    </w:p>
    <w:p w14:paraId="0F6C89C4" w14:textId="77777777" w:rsidR="0060353C" w:rsidRDefault="0060353C" w:rsidP="00E46EE4">
      <w:pPr>
        <w:spacing w:after="0" w:line="240" w:lineRule="auto"/>
      </w:pPr>
      <w:r>
        <w:t xml:space="preserve">A severe breach of the Student Code of Conduct Includes, but is not limited to, the following: </w:t>
      </w:r>
    </w:p>
    <w:p w14:paraId="0D037902" w14:textId="77777777" w:rsidR="0060353C" w:rsidRDefault="0060353C" w:rsidP="0060353C">
      <w:pPr>
        <w:pStyle w:val="ListParagraph"/>
        <w:numPr>
          <w:ilvl w:val="0"/>
          <w:numId w:val="6"/>
        </w:numPr>
      </w:pPr>
      <w:r>
        <w:t>harassment, discrimination, victimisation or bullying including cyber-</w:t>
      </w:r>
      <w:proofErr w:type="gramStart"/>
      <w:r>
        <w:t>bullying</w:t>
      </w:r>
      <w:proofErr w:type="gramEnd"/>
    </w:p>
    <w:p w14:paraId="7983C815" w14:textId="5946041D" w:rsidR="0060353C" w:rsidRDefault="0060353C" w:rsidP="0060353C">
      <w:pPr>
        <w:pStyle w:val="ListParagraph"/>
        <w:numPr>
          <w:ilvl w:val="0"/>
          <w:numId w:val="6"/>
        </w:numPr>
      </w:pPr>
      <w:r>
        <w:t>property damage or theft.</w:t>
      </w:r>
    </w:p>
    <w:p w14:paraId="03F39FD6" w14:textId="77777777" w:rsidR="0060353C" w:rsidRPr="00E46EE4" w:rsidRDefault="0060353C" w:rsidP="00E46EE4">
      <w:pPr>
        <w:pStyle w:val="ListParagraph"/>
        <w:ind w:left="360"/>
        <w:rPr>
          <w:rFonts w:ascii="Arial" w:eastAsiaTheme="minorEastAsia" w:hAnsi="Arial" w:cs="Arial"/>
          <w:b/>
          <w:bCs/>
          <w:color w:val="F57E20"/>
          <w:kern w:val="0"/>
          <w:sz w:val="26"/>
          <w:szCs w:val="24"/>
          <w:lang w:val="en-US"/>
          <w14:ligatures w14:val="none"/>
        </w:rPr>
      </w:pPr>
    </w:p>
    <w:p w14:paraId="12A93A89" w14:textId="3714A83B" w:rsidR="0060353C" w:rsidRPr="00E46EE4" w:rsidRDefault="0060353C" w:rsidP="0060353C">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Extreme breach</w:t>
      </w:r>
    </w:p>
    <w:p w14:paraId="720D9526" w14:textId="77777777" w:rsidR="0060353C" w:rsidRDefault="0060353C" w:rsidP="0060353C">
      <w:r>
        <w:t xml:space="preserve">Extreme misconduct and/or illegal activity includes, but is not limited to, the following: </w:t>
      </w:r>
    </w:p>
    <w:p w14:paraId="46EB1A5B" w14:textId="77777777" w:rsidR="0060353C" w:rsidRDefault="0060353C" w:rsidP="0060353C">
      <w:pPr>
        <w:pStyle w:val="ListParagraph"/>
        <w:numPr>
          <w:ilvl w:val="0"/>
          <w:numId w:val="7"/>
        </w:numPr>
      </w:pPr>
      <w:r>
        <w:t>physical or serious verbal assault</w:t>
      </w:r>
    </w:p>
    <w:p w14:paraId="53F494F8" w14:textId="77777777" w:rsidR="0060353C" w:rsidRDefault="0060353C" w:rsidP="0060353C">
      <w:pPr>
        <w:pStyle w:val="ListParagraph"/>
        <w:numPr>
          <w:ilvl w:val="0"/>
          <w:numId w:val="7"/>
        </w:numPr>
      </w:pPr>
      <w:r>
        <w:t>threats to personal and public safety</w:t>
      </w:r>
    </w:p>
    <w:p w14:paraId="439E9DB3" w14:textId="37421037" w:rsidR="0060353C" w:rsidRDefault="0060353C" w:rsidP="0060353C">
      <w:pPr>
        <w:pStyle w:val="ListParagraph"/>
        <w:numPr>
          <w:ilvl w:val="0"/>
          <w:numId w:val="7"/>
        </w:numPr>
      </w:pPr>
      <w:r>
        <w:t>misuse of college property or funds</w:t>
      </w:r>
    </w:p>
    <w:p w14:paraId="2922752A" w14:textId="10DF5ED9" w:rsidR="0060353C" w:rsidRDefault="0060353C" w:rsidP="0060353C">
      <w:pPr>
        <w:pStyle w:val="ListParagraph"/>
        <w:numPr>
          <w:ilvl w:val="0"/>
          <w:numId w:val="7"/>
        </w:numPr>
      </w:pPr>
      <w:r>
        <w:t>the possession of any form of weaponry on NR TAFE’s premises or while on excursions or undertaking work experience organised by the college.</w:t>
      </w:r>
    </w:p>
    <w:p w14:paraId="3690AFDF" w14:textId="77777777" w:rsidR="00E46EE4" w:rsidRDefault="00E46EE4" w:rsidP="008835EB">
      <w:pPr>
        <w:pStyle w:val="ListParagraph"/>
      </w:pPr>
    </w:p>
    <w:p w14:paraId="29984A95" w14:textId="77777777" w:rsidR="008835EB" w:rsidRDefault="008835EB" w:rsidP="008835EB">
      <w:pPr>
        <w:pStyle w:val="ListParagraph"/>
      </w:pPr>
    </w:p>
    <w:p w14:paraId="79719614" w14:textId="77777777" w:rsidR="008835EB" w:rsidRDefault="008835EB" w:rsidP="008835EB">
      <w:pPr>
        <w:pStyle w:val="ListParagraph"/>
      </w:pPr>
    </w:p>
    <w:p w14:paraId="6DAA0DE0" w14:textId="77777777" w:rsidR="008835EB" w:rsidRDefault="008835EB" w:rsidP="008835EB">
      <w:pPr>
        <w:pStyle w:val="ListParagraph"/>
      </w:pPr>
    </w:p>
    <w:p w14:paraId="004E41AA" w14:textId="76B6A3E7" w:rsidR="0060353C" w:rsidRPr="00E46EE4" w:rsidRDefault="0060353C" w:rsidP="0060353C">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Individual</w:t>
      </w:r>
      <w:r w:rsidR="00E46EE4">
        <w:rPr>
          <w:rFonts w:ascii="Arial" w:eastAsiaTheme="minorEastAsia" w:hAnsi="Arial" w:cs="Arial"/>
          <w:b/>
          <w:bCs/>
          <w:color w:val="F57E20"/>
          <w:kern w:val="0"/>
          <w:sz w:val="26"/>
          <w:szCs w:val="24"/>
          <w:lang w:val="en-US"/>
          <w14:ligatures w14:val="none"/>
        </w:rPr>
        <w:t>s</w:t>
      </w:r>
      <w:r w:rsidRPr="00E46EE4">
        <w:rPr>
          <w:rFonts w:ascii="Arial" w:eastAsiaTheme="minorEastAsia" w:hAnsi="Arial" w:cs="Arial"/>
          <w:b/>
          <w:bCs/>
          <w:color w:val="F57E20"/>
          <w:kern w:val="0"/>
          <w:sz w:val="26"/>
          <w:szCs w:val="24"/>
          <w:lang w:val="en-US"/>
          <w14:ligatures w14:val="none"/>
        </w:rPr>
        <w:t xml:space="preserve"> to be consulted in addressing a </w:t>
      </w:r>
      <w:proofErr w:type="gramStart"/>
      <w:r w:rsidRPr="00E46EE4">
        <w:rPr>
          <w:rFonts w:ascii="Arial" w:eastAsiaTheme="minorEastAsia" w:hAnsi="Arial" w:cs="Arial"/>
          <w:b/>
          <w:bCs/>
          <w:color w:val="F57E20"/>
          <w:kern w:val="0"/>
          <w:sz w:val="26"/>
          <w:szCs w:val="24"/>
          <w:lang w:val="en-US"/>
          <w14:ligatures w14:val="none"/>
        </w:rPr>
        <w:t>breach</w:t>
      </w:r>
      <w:proofErr w:type="gramEnd"/>
    </w:p>
    <w:p w14:paraId="7F24DA77" w14:textId="77777777" w:rsidR="0060353C" w:rsidRDefault="0060353C" w:rsidP="00E46EE4">
      <w:pPr>
        <w:spacing w:after="0" w:line="240" w:lineRule="auto"/>
      </w:pPr>
      <w:r>
        <w:t xml:space="preserve">The relevant individual(s) must also be consulted (applying privacy and confidentiality) in addressing a serious breach of the Student Code of Conduct: </w:t>
      </w:r>
    </w:p>
    <w:p w14:paraId="2E19D5CF" w14:textId="77777777" w:rsidR="0060353C" w:rsidRDefault="0060353C" w:rsidP="0060353C">
      <w:pPr>
        <w:pStyle w:val="ListParagraph"/>
        <w:numPr>
          <w:ilvl w:val="0"/>
          <w:numId w:val="8"/>
        </w:numPr>
      </w:pPr>
      <w:r>
        <w:t xml:space="preserve">Head of Programs </w:t>
      </w:r>
    </w:p>
    <w:p w14:paraId="2E7CEBC3" w14:textId="77777777" w:rsidR="0060353C" w:rsidRDefault="0060353C" w:rsidP="0060353C">
      <w:pPr>
        <w:pStyle w:val="ListParagraph"/>
        <w:numPr>
          <w:ilvl w:val="0"/>
          <w:numId w:val="8"/>
        </w:numPr>
      </w:pPr>
      <w:r>
        <w:t>Training Manager</w:t>
      </w:r>
    </w:p>
    <w:p w14:paraId="49D22255" w14:textId="672FF776" w:rsidR="0060353C" w:rsidRPr="00B6107E" w:rsidRDefault="000F73D9" w:rsidP="0060353C">
      <w:pPr>
        <w:pStyle w:val="ListParagraph"/>
        <w:numPr>
          <w:ilvl w:val="0"/>
          <w:numId w:val="8"/>
        </w:numPr>
      </w:pPr>
      <w:r>
        <w:t xml:space="preserve">International students - </w:t>
      </w:r>
      <w:r w:rsidR="00B6107E" w:rsidRPr="00B6107E">
        <w:t xml:space="preserve">Jobs and Skills Centre </w:t>
      </w:r>
      <w:r>
        <w:t>Coordinator</w:t>
      </w:r>
    </w:p>
    <w:p w14:paraId="7D48A36D" w14:textId="0DC8B24C" w:rsidR="0060353C" w:rsidRDefault="0060353C" w:rsidP="0060353C">
      <w:pPr>
        <w:pStyle w:val="ListParagraph"/>
        <w:numPr>
          <w:ilvl w:val="0"/>
          <w:numId w:val="8"/>
        </w:numPr>
      </w:pPr>
      <w:r>
        <w:t xml:space="preserve">students less than 18 years of </w:t>
      </w:r>
      <w:proofErr w:type="gramStart"/>
      <w:r>
        <w:t xml:space="preserve">age </w:t>
      </w:r>
      <w:r w:rsidR="00B6107E">
        <w:t xml:space="preserve"> -</w:t>
      </w:r>
      <w:proofErr w:type="gramEnd"/>
      <w:r w:rsidR="00B6107E">
        <w:t xml:space="preserve"> </w:t>
      </w:r>
      <w:r>
        <w:t>VET in Schools</w:t>
      </w:r>
      <w:r w:rsidR="000F73D9">
        <w:t xml:space="preserve"> coordinator </w:t>
      </w:r>
    </w:p>
    <w:p w14:paraId="1DFA0703" w14:textId="77777777" w:rsidR="0060353C" w:rsidRDefault="0060353C" w:rsidP="0060353C">
      <w:pPr>
        <w:pStyle w:val="ListParagraph"/>
        <w:numPr>
          <w:ilvl w:val="0"/>
          <w:numId w:val="8"/>
        </w:numPr>
      </w:pPr>
      <w:r>
        <w:t xml:space="preserve">apprentices – the apprenticeship management team; the apprentice’s employer; the AASN </w:t>
      </w:r>
    </w:p>
    <w:p w14:paraId="11B6B0F7" w14:textId="5CB6AAB0" w:rsidR="0060353C" w:rsidRDefault="0060353C" w:rsidP="0060353C">
      <w:pPr>
        <w:pStyle w:val="ListParagraph"/>
        <w:numPr>
          <w:ilvl w:val="0"/>
          <w:numId w:val="8"/>
        </w:numPr>
      </w:pPr>
      <w:r>
        <w:t>students with a disability and</w:t>
      </w:r>
      <w:r w:rsidR="006D50F7">
        <w:t>/or</w:t>
      </w:r>
      <w:r>
        <w:t xml:space="preserve"> Aboriginal students – Manager Student Support Services</w:t>
      </w:r>
    </w:p>
    <w:p w14:paraId="49DFD1ED" w14:textId="2336889D" w:rsidR="0060353C" w:rsidRDefault="0060353C" w:rsidP="0060353C">
      <w:pPr>
        <w:pStyle w:val="ListParagraph"/>
        <w:numPr>
          <w:ilvl w:val="0"/>
          <w:numId w:val="8"/>
        </w:numPr>
      </w:pPr>
      <w:r>
        <w:t>VET in Schools students –applicable school contact person and Training Manager or VET in Schools</w:t>
      </w:r>
      <w:r w:rsidR="000F73D9">
        <w:t xml:space="preserve"> coordinator</w:t>
      </w:r>
      <w:r>
        <w:t>.</w:t>
      </w:r>
    </w:p>
    <w:p w14:paraId="379EBD52" w14:textId="25C99D96" w:rsidR="0060353C" w:rsidRDefault="0060353C" w:rsidP="0060353C">
      <w:r>
        <w:t xml:space="preserve">Where a severe breach of the Student Code of Conduct has occurred the in addition to the above </w:t>
      </w:r>
      <w:r w:rsidRPr="000F73D9">
        <w:t>the Director Training Services</w:t>
      </w:r>
      <w:r>
        <w:t xml:space="preserve"> must also be consulted. </w:t>
      </w:r>
    </w:p>
    <w:p w14:paraId="7C61A86A" w14:textId="013A123F" w:rsidR="0060353C" w:rsidRDefault="0060353C" w:rsidP="0060353C">
      <w:r>
        <w:t xml:space="preserve">Where an extreme breach of the Student Code of Conduct has occurred in addition to the above </w:t>
      </w:r>
      <w:r w:rsidRPr="000F73D9">
        <w:t xml:space="preserve">the </w:t>
      </w:r>
      <w:r w:rsidR="001954B4" w:rsidRPr="000F73D9">
        <w:t xml:space="preserve">Executive </w:t>
      </w:r>
      <w:r w:rsidRPr="000F73D9">
        <w:t>Director</w:t>
      </w:r>
      <w:r>
        <w:t xml:space="preserve"> </w:t>
      </w:r>
      <w:r w:rsidR="001954B4">
        <w:t xml:space="preserve">Training Services </w:t>
      </w:r>
      <w:r>
        <w:t xml:space="preserve">must also be consulted. </w:t>
      </w:r>
    </w:p>
    <w:p w14:paraId="6EE6C2BC" w14:textId="77777777" w:rsidR="001954B4" w:rsidRDefault="0060353C" w:rsidP="0060353C">
      <w:r>
        <w:t xml:space="preserve">A student must be given the option of having the relevant individual(s) from the </w:t>
      </w:r>
      <w:proofErr w:type="gramStart"/>
      <w:r>
        <w:t>above mentioned</w:t>
      </w:r>
      <w:proofErr w:type="gramEnd"/>
      <w:r>
        <w:t xml:space="preserve"> list, a family member or associate present during discussion, to act as an advocate and/or observer, to support the student to address the breach of the Student Code of Conduct, except where the student is less than 18 years of age or a VET in schools student. </w:t>
      </w:r>
    </w:p>
    <w:p w14:paraId="16CD1F11" w14:textId="65FF2AB7" w:rsidR="0060353C" w:rsidRDefault="0060353C" w:rsidP="0060353C">
      <w:r>
        <w:t xml:space="preserve">Where a student is less than 18 years of age or a VET in Schools student, </w:t>
      </w:r>
      <w:r w:rsidR="000F73D9">
        <w:t xml:space="preserve">the </w:t>
      </w:r>
      <w:r>
        <w:t xml:space="preserve">VET in Schools </w:t>
      </w:r>
      <w:r w:rsidR="000F73D9">
        <w:t xml:space="preserve">coordinator, or the relevant Training Manager </w:t>
      </w:r>
      <w:r>
        <w:t>and the student’s parent(s) or guardian(s) must be present during discussion with the student to address the breach.</w:t>
      </w:r>
    </w:p>
    <w:p w14:paraId="1F0C1C6B" w14:textId="77777777" w:rsidR="001954B4" w:rsidRDefault="001954B4" w:rsidP="0060353C"/>
    <w:p w14:paraId="2EC88680" w14:textId="05306E63" w:rsidR="0060353C" w:rsidRPr="00E46EE4" w:rsidRDefault="001954B4" w:rsidP="001954B4">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Penalties for a breach of the Student Code of Conduct</w:t>
      </w:r>
    </w:p>
    <w:p w14:paraId="72913719" w14:textId="77777777" w:rsidR="001954B4" w:rsidRDefault="001954B4" w:rsidP="001954B4">
      <w:r>
        <w:t xml:space="preserve">All breaches of the Student Code of Conduct shall be addressed in accordance with the college by-laws and the Student Code of Conduct Breach Management Procedure. </w:t>
      </w:r>
    </w:p>
    <w:p w14:paraId="77BDD41F" w14:textId="77777777" w:rsidR="001954B4" w:rsidRDefault="001954B4" w:rsidP="001954B4">
      <w:r>
        <w:t xml:space="preserve">A serious to extreme breach may be addressed by applying one or more of the following penalties: </w:t>
      </w:r>
    </w:p>
    <w:p w14:paraId="1FDD801D" w14:textId="77777777" w:rsidR="001954B4" w:rsidRDefault="001954B4" w:rsidP="001954B4">
      <w:pPr>
        <w:pStyle w:val="ListParagraph"/>
        <w:numPr>
          <w:ilvl w:val="0"/>
          <w:numId w:val="9"/>
        </w:numPr>
      </w:pPr>
      <w:r>
        <w:t>suspension of all or any of the privileges of the enrolled student</w:t>
      </w:r>
    </w:p>
    <w:p w14:paraId="4E65B930" w14:textId="0F888B91" w:rsidR="001954B4" w:rsidRDefault="001954B4" w:rsidP="001954B4">
      <w:pPr>
        <w:pStyle w:val="ListParagraph"/>
        <w:numPr>
          <w:ilvl w:val="0"/>
          <w:numId w:val="9"/>
        </w:numPr>
      </w:pPr>
      <w:r>
        <w:t xml:space="preserve">exclusion of the enrolled student from learning and assessment activities where practicable to do </w:t>
      </w:r>
      <w:proofErr w:type="gramStart"/>
      <w:r>
        <w:t>so</w:t>
      </w:r>
      <w:proofErr w:type="gramEnd"/>
    </w:p>
    <w:p w14:paraId="65AEC5F6" w14:textId="77777777" w:rsidR="001954B4" w:rsidRDefault="001954B4" w:rsidP="001954B4">
      <w:pPr>
        <w:pStyle w:val="ListParagraph"/>
        <w:numPr>
          <w:ilvl w:val="0"/>
          <w:numId w:val="9"/>
        </w:numPr>
      </w:pPr>
      <w:r>
        <w:t>withholding examination results of the enrolled student</w:t>
      </w:r>
    </w:p>
    <w:p w14:paraId="3D9F93DE" w14:textId="77777777" w:rsidR="001954B4" w:rsidRDefault="001954B4" w:rsidP="001954B4">
      <w:pPr>
        <w:pStyle w:val="ListParagraph"/>
        <w:numPr>
          <w:ilvl w:val="0"/>
          <w:numId w:val="9"/>
        </w:numPr>
      </w:pPr>
      <w:r>
        <w:t>suspending the enrolled student for a period not exceeding 2 semesters, from any course or courses</w:t>
      </w:r>
    </w:p>
    <w:p w14:paraId="0BB9140C" w14:textId="77777777" w:rsidR="001954B4" w:rsidRDefault="001954B4" w:rsidP="001954B4">
      <w:pPr>
        <w:pStyle w:val="ListParagraph"/>
        <w:numPr>
          <w:ilvl w:val="0"/>
          <w:numId w:val="9"/>
        </w:numPr>
      </w:pPr>
      <w:r>
        <w:t xml:space="preserve">expulsion of the enrolled student from the college, or </w:t>
      </w:r>
    </w:p>
    <w:p w14:paraId="6DF55B59" w14:textId="77777777" w:rsidR="001954B4" w:rsidRDefault="001954B4" w:rsidP="001954B4">
      <w:pPr>
        <w:pStyle w:val="ListParagraph"/>
        <w:numPr>
          <w:ilvl w:val="0"/>
          <w:numId w:val="9"/>
        </w:numPr>
      </w:pPr>
      <w:r>
        <w:t xml:space="preserve">refusing to re-enrol the individual as a college </w:t>
      </w:r>
      <w:proofErr w:type="gramStart"/>
      <w:r>
        <w:t>student</w:t>
      </w:r>
      <w:proofErr w:type="gramEnd"/>
    </w:p>
    <w:p w14:paraId="1F182E15" w14:textId="6D258EE4" w:rsidR="001954B4" w:rsidRDefault="001954B4" w:rsidP="001954B4">
      <w:pPr>
        <w:pStyle w:val="ListParagraph"/>
        <w:numPr>
          <w:ilvl w:val="0"/>
          <w:numId w:val="9"/>
        </w:numPr>
      </w:pPr>
      <w:r>
        <w:t>imposing a fine or penalty to the student as specified in the by-laws.</w:t>
      </w:r>
    </w:p>
    <w:p w14:paraId="683C837E" w14:textId="77777777" w:rsidR="008835EB" w:rsidRDefault="008835EB" w:rsidP="008835EB"/>
    <w:p w14:paraId="31DA42B0" w14:textId="77777777" w:rsidR="00E46EE4" w:rsidRDefault="00E46EE4" w:rsidP="00E46EE4"/>
    <w:p w14:paraId="09E89CD5" w14:textId="77777777" w:rsidR="001954B4" w:rsidRDefault="001954B4" w:rsidP="001954B4">
      <w:r>
        <w:t xml:space="preserve">Where there are sufficient grounds for doing so, a Training Manager shall request one or more of the abovementioned penalties be applied. This must be endorsed by the relevant Director Training Services and the Executive Director Training Services. </w:t>
      </w:r>
    </w:p>
    <w:p w14:paraId="09ED2F60" w14:textId="40800264" w:rsidR="001954B4" w:rsidRDefault="001954B4" w:rsidP="001954B4">
      <w:r>
        <w:t>Any decision to issue a penalty which is either the expulsion of an enrolled student or refusing to re-enrol an individual must be confirmed by the Governing Council prior to being imposed. A notice confirming the penalty issued must be provided to the applicable student within 28 days of the penalty being imposed.</w:t>
      </w:r>
    </w:p>
    <w:p w14:paraId="419C5893" w14:textId="77777777" w:rsidR="00E46EE4" w:rsidRDefault="00E46EE4" w:rsidP="001954B4"/>
    <w:p w14:paraId="75FC291C" w14:textId="65C22010" w:rsidR="001954B4" w:rsidRPr="00E46EE4" w:rsidRDefault="001954B4" w:rsidP="001954B4">
      <w:pPr>
        <w:pStyle w:val="ListParagraph"/>
        <w:numPr>
          <w:ilvl w:val="1"/>
          <w:numId w:val="3"/>
        </w:num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Suspension and exclusion from learning and assessment activities</w:t>
      </w:r>
    </w:p>
    <w:p w14:paraId="5B49EA8D" w14:textId="77777777" w:rsidR="001954B4" w:rsidRDefault="001954B4" w:rsidP="001954B4">
      <w:r>
        <w:t xml:space="preserve">Enrolled students are expected to continue with study while on suspension or during exclusion from learning and assessment activities. The nature of such study will be determined by the student’s lecturer(s) in consultation with the relevant Training Manager and individuals consulted in addressing the breach (e.g. an employer). </w:t>
      </w:r>
    </w:p>
    <w:p w14:paraId="03B5E68D" w14:textId="107B0A61" w:rsidR="001954B4" w:rsidRDefault="001954B4" w:rsidP="001954B4">
      <w:r>
        <w:t>On completion of suspension or exclusion, an enrolled student in consultation with their lecturer(s) and the relevant individual(s) will determine an appropriate method for the enrolled student to resume study at the college. Such methods may include but are not limited to the following:</w:t>
      </w:r>
    </w:p>
    <w:p w14:paraId="5252E6D1" w14:textId="77777777" w:rsidR="001954B4" w:rsidRDefault="001954B4" w:rsidP="001954B4">
      <w:pPr>
        <w:pStyle w:val="ListParagraph"/>
        <w:numPr>
          <w:ilvl w:val="0"/>
          <w:numId w:val="10"/>
        </w:numPr>
      </w:pPr>
      <w:r>
        <w:t xml:space="preserve">requiring the enrolled student to re-enrol in units which were partially completed prior to suspension or </w:t>
      </w:r>
      <w:proofErr w:type="gramStart"/>
      <w:r>
        <w:t>exclusion</w:t>
      </w:r>
      <w:proofErr w:type="gramEnd"/>
    </w:p>
    <w:p w14:paraId="08348634" w14:textId="77777777" w:rsidR="001954B4" w:rsidRDefault="001954B4" w:rsidP="001954B4">
      <w:pPr>
        <w:pStyle w:val="ListParagraph"/>
        <w:numPr>
          <w:ilvl w:val="0"/>
          <w:numId w:val="10"/>
        </w:numPr>
      </w:pPr>
      <w:r>
        <w:t xml:space="preserve">undertaking recognition of prior learning in accordance with relevant college policy for any informal or non-formal learning undertaken by the enrolled student during their suspension or exclusion; or </w:t>
      </w:r>
    </w:p>
    <w:p w14:paraId="1AE02787" w14:textId="521B9BCA" w:rsidR="001954B4" w:rsidRDefault="001954B4" w:rsidP="001954B4">
      <w:pPr>
        <w:pStyle w:val="ListParagraph"/>
        <w:numPr>
          <w:ilvl w:val="0"/>
          <w:numId w:val="10"/>
        </w:numPr>
      </w:pPr>
      <w:proofErr w:type="gramStart"/>
      <w:r>
        <w:t>making arrangements</w:t>
      </w:r>
      <w:proofErr w:type="gramEnd"/>
      <w:r>
        <w:t xml:space="preserve"> for enrolled students to undertake assessments and receive training missed during suspension or exclusion.</w:t>
      </w:r>
    </w:p>
    <w:p w14:paraId="159034F8" w14:textId="77777777" w:rsidR="001954B4" w:rsidRDefault="001954B4" w:rsidP="001954B4">
      <w:r>
        <w:t xml:space="preserve">Under all instances, the student is responsible for any associated fees related to their academic course enrolment as deemed appropriate by the college. </w:t>
      </w:r>
    </w:p>
    <w:p w14:paraId="2DEA89A4" w14:textId="1C23696D" w:rsidR="001954B4" w:rsidRDefault="001954B4" w:rsidP="001954B4">
      <w:r>
        <w:t>The academic progress of other college students must not be compromised by the method chosen for an enrolled student to resume study following suspension or exclusion.</w:t>
      </w:r>
    </w:p>
    <w:p w14:paraId="7028704F" w14:textId="77777777" w:rsidR="001954B4" w:rsidRDefault="001954B4" w:rsidP="001954B4"/>
    <w:p w14:paraId="593FE048" w14:textId="7038C0E7" w:rsidR="001954B4" w:rsidRPr="00E46EE4" w:rsidRDefault="001954B4" w:rsidP="001954B4">
      <w:p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5.10 Withholding results</w:t>
      </w:r>
    </w:p>
    <w:p w14:paraId="0ACEEF9C" w14:textId="0F3D47E1" w:rsidR="001954B4" w:rsidRDefault="001954B4" w:rsidP="001954B4">
      <w:r>
        <w:t xml:space="preserve">Where an individual is entitled to an award </w:t>
      </w:r>
      <w:r w:rsidR="00621E49">
        <w:t>(for completion of a qualification)</w:t>
      </w:r>
      <w:r>
        <w:t xml:space="preserve">, but has finished serving a penalty issued by NR TAFE, or retains NR TAFE property without lawful reason, the individual’s award may be withheld until: </w:t>
      </w:r>
    </w:p>
    <w:p w14:paraId="4CBA5F6B" w14:textId="65043ED4" w:rsidR="001954B4" w:rsidRDefault="001954B4" w:rsidP="001954B4">
      <w:pPr>
        <w:pStyle w:val="ListParagraph"/>
        <w:numPr>
          <w:ilvl w:val="0"/>
          <w:numId w:val="11"/>
        </w:numPr>
      </w:pPr>
      <w:r>
        <w:t xml:space="preserve">the penalty is paid or </w:t>
      </w:r>
      <w:proofErr w:type="gramStart"/>
      <w:r>
        <w:t>served</w:t>
      </w:r>
      <w:r w:rsidR="00FA0E6F">
        <w:t>;</w:t>
      </w:r>
      <w:proofErr w:type="gramEnd"/>
    </w:p>
    <w:p w14:paraId="44C8BEF4" w14:textId="77777777" w:rsidR="001954B4" w:rsidRDefault="001954B4" w:rsidP="001954B4">
      <w:pPr>
        <w:pStyle w:val="ListParagraph"/>
        <w:numPr>
          <w:ilvl w:val="0"/>
          <w:numId w:val="11"/>
        </w:numPr>
      </w:pPr>
      <w:r>
        <w:t xml:space="preserve">the property returned; or </w:t>
      </w:r>
    </w:p>
    <w:p w14:paraId="1687CEBC" w14:textId="6299E3E5" w:rsidR="001954B4" w:rsidRDefault="001954B4" w:rsidP="001954B4">
      <w:pPr>
        <w:pStyle w:val="ListParagraph"/>
        <w:numPr>
          <w:ilvl w:val="0"/>
          <w:numId w:val="11"/>
        </w:numPr>
      </w:pPr>
      <w:r>
        <w:t>the college is reimbursed for the cost of the property.</w:t>
      </w:r>
    </w:p>
    <w:p w14:paraId="1B0468C6" w14:textId="77777777" w:rsidR="001954B4" w:rsidRDefault="001954B4" w:rsidP="001954B4"/>
    <w:p w14:paraId="71705BDC" w14:textId="77777777" w:rsidR="00E46EE4" w:rsidRDefault="00E46EE4" w:rsidP="001954B4"/>
    <w:p w14:paraId="32A2BA59" w14:textId="77777777" w:rsidR="00E46EE4" w:rsidRDefault="00E46EE4" w:rsidP="001954B4"/>
    <w:p w14:paraId="23A6C047" w14:textId="15D89E86" w:rsidR="001954B4" w:rsidRPr="00E46EE4" w:rsidRDefault="001954B4" w:rsidP="001954B4">
      <w:p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5.11 Appeal of decision</w:t>
      </w:r>
    </w:p>
    <w:p w14:paraId="4D67B809" w14:textId="0D52E48A" w:rsidR="001954B4" w:rsidRDefault="001954B4" w:rsidP="001954B4">
      <w:r>
        <w:t xml:space="preserve">An individual may appeal the college’s decision of an individual’s breach of the Student Code of Conduct or the resolution to address their grievance. The appeal must be in writing and received by the </w:t>
      </w:r>
      <w:r w:rsidR="0078628A">
        <w:t xml:space="preserve">Director Training Services </w:t>
      </w:r>
      <w:r>
        <w:t xml:space="preserve">within seven business days of the individual receiving the college’s decision, </w:t>
      </w:r>
      <w:proofErr w:type="gramStart"/>
      <w:r>
        <w:t>penalty</w:t>
      </w:r>
      <w:proofErr w:type="gramEnd"/>
      <w:r>
        <w:t xml:space="preserve"> or resolution. </w:t>
      </w:r>
    </w:p>
    <w:p w14:paraId="23B5BC81" w14:textId="77777777" w:rsidR="001954B4" w:rsidRDefault="001954B4" w:rsidP="001954B4">
      <w:r>
        <w:t xml:space="preserve">An appeal relating to </w:t>
      </w:r>
      <w:r w:rsidRPr="00BA341E">
        <w:rPr>
          <w:b/>
          <w:bCs/>
        </w:rPr>
        <w:t>academic</w:t>
      </w:r>
      <w:r>
        <w:t xml:space="preserve"> </w:t>
      </w:r>
      <w:r w:rsidRPr="00BA341E">
        <w:rPr>
          <w:b/>
          <w:bCs/>
        </w:rPr>
        <w:t>misbehaviour</w:t>
      </w:r>
      <w:r>
        <w:t xml:space="preserve"> shall be reviewed by the Executive Director Training Services who will </w:t>
      </w:r>
      <w:proofErr w:type="gramStart"/>
      <w:r>
        <w:t>make a decision</w:t>
      </w:r>
      <w:proofErr w:type="gramEnd"/>
      <w:r>
        <w:t xml:space="preserve"> with respect to the appeal in consultation with individuals they deem necessary. </w:t>
      </w:r>
    </w:p>
    <w:p w14:paraId="338E3B11" w14:textId="77777777" w:rsidR="001954B4" w:rsidRDefault="001954B4" w:rsidP="001954B4">
      <w:r>
        <w:t xml:space="preserve">A decision with respect to an appeal must be made and communicated to the individual making the appeal within 10 business days of the college receiving the appeal. </w:t>
      </w:r>
    </w:p>
    <w:p w14:paraId="04FCA4D9" w14:textId="77777777" w:rsidR="001954B4" w:rsidRDefault="001954B4" w:rsidP="001954B4">
      <w:r>
        <w:t xml:space="preserve">An appeal relating to </w:t>
      </w:r>
      <w:r w:rsidRPr="00BA341E">
        <w:rPr>
          <w:b/>
          <w:bCs/>
        </w:rPr>
        <w:t>general</w:t>
      </w:r>
      <w:r>
        <w:t xml:space="preserve"> </w:t>
      </w:r>
      <w:r w:rsidRPr="00BA341E">
        <w:rPr>
          <w:b/>
          <w:bCs/>
        </w:rPr>
        <w:t>misbehaviour</w:t>
      </w:r>
      <w:r>
        <w:t xml:space="preserve"> shall be reviewed by the Executive Director Training Services or Executive Director Organisational Services (depending on the type of misbehaviour) who will </w:t>
      </w:r>
      <w:proofErr w:type="gramStart"/>
      <w:r>
        <w:t>make a decision</w:t>
      </w:r>
      <w:proofErr w:type="gramEnd"/>
      <w:r>
        <w:t xml:space="preserve"> with respect to the appeal in consultation with individuals they deem necessary. </w:t>
      </w:r>
    </w:p>
    <w:p w14:paraId="443FD7A7" w14:textId="2C34E9DE" w:rsidR="001954B4" w:rsidRDefault="001954B4" w:rsidP="001954B4">
      <w:r>
        <w:t>A decision with respect to an appeal must be made and communicated to the individual making the appeal within 10 business days of the college receiving the appeal.</w:t>
      </w:r>
    </w:p>
    <w:p w14:paraId="491F56F3" w14:textId="77777777" w:rsidR="001954B4" w:rsidRPr="00E46EE4" w:rsidRDefault="001954B4" w:rsidP="001954B4">
      <w:pPr>
        <w:rPr>
          <w:rFonts w:ascii="Arial" w:eastAsiaTheme="minorEastAsia" w:hAnsi="Arial" w:cs="Arial"/>
          <w:b/>
          <w:bCs/>
          <w:color w:val="F57E20"/>
          <w:kern w:val="0"/>
          <w:sz w:val="26"/>
          <w:szCs w:val="24"/>
          <w:lang w:val="en-US"/>
          <w14:ligatures w14:val="none"/>
        </w:rPr>
      </w:pPr>
    </w:p>
    <w:p w14:paraId="796125BC" w14:textId="54A9D177" w:rsidR="001954B4" w:rsidRPr="00E46EE4" w:rsidRDefault="001954B4" w:rsidP="001954B4">
      <w:pPr>
        <w:rPr>
          <w:rFonts w:ascii="Arial" w:eastAsiaTheme="minorEastAsia" w:hAnsi="Arial" w:cs="Arial"/>
          <w:b/>
          <w:bCs/>
          <w:color w:val="F57E20"/>
          <w:kern w:val="0"/>
          <w:sz w:val="26"/>
          <w:szCs w:val="24"/>
          <w:lang w:val="en-US"/>
          <w14:ligatures w14:val="none"/>
        </w:rPr>
      </w:pPr>
      <w:r w:rsidRPr="00E46EE4">
        <w:rPr>
          <w:rFonts w:ascii="Arial" w:eastAsiaTheme="minorEastAsia" w:hAnsi="Arial" w:cs="Arial"/>
          <w:b/>
          <w:bCs/>
          <w:color w:val="F57E20"/>
          <w:kern w:val="0"/>
          <w:sz w:val="26"/>
          <w:szCs w:val="24"/>
          <w:lang w:val="en-US"/>
          <w14:ligatures w14:val="none"/>
        </w:rPr>
        <w:t xml:space="preserve">5.12 Learning and assessment undertaken off </w:t>
      </w:r>
      <w:proofErr w:type="gramStart"/>
      <w:r w:rsidRPr="00E46EE4">
        <w:rPr>
          <w:rFonts w:ascii="Arial" w:eastAsiaTheme="minorEastAsia" w:hAnsi="Arial" w:cs="Arial"/>
          <w:b/>
          <w:bCs/>
          <w:color w:val="F57E20"/>
          <w:kern w:val="0"/>
          <w:sz w:val="26"/>
          <w:szCs w:val="24"/>
          <w:lang w:val="en-US"/>
          <w14:ligatures w14:val="none"/>
        </w:rPr>
        <w:t>premises</w:t>
      </w:r>
      <w:proofErr w:type="gramEnd"/>
    </w:p>
    <w:p w14:paraId="4CE4F849" w14:textId="77777777" w:rsidR="001954B4" w:rsidRDefault="001954B4" w:rsidP="001954B4">
      <w:r>
        <w:t xml:space="preserve">Where an enrolled student is undertaking learning and assessment activities off campus (e.g. work placement) the enrolled student must comply with rules and regulations of the off-campus employer/operator/business in addition to the Student Code of Conduct. </w:t>
      </w:r>
    </w:p>
    <w:p w14:paraId="347F1CE8" w14:textId="2A80DDA7" w:rsidR="001954B4" w:rsidRDefault="001954B4" w:rsidP="001954B4">
      <w:r>
        <w:t xml:space="preserve">In </w:t>
      </w:r>
      <w:r w:rsidR="00BA341E">
        <w:t>i</w:t>
      </w:r>
      <w:r>
        <w:t xml:space="preserve">nstances where such rules and regulations conflict with the Student Code of Conduct, these are to be managed on a </w:t>
      </w:r>
      <w:proofErr w:type="gramStart"/>
      <w:r>
        <w:t>case by case</w:t>
      </w:r>
      <w:proofErr w:type="gramEnd"/>
      <w:r>
        <w:t xml:space="preserve"> basis by the relevant Training Manager in consultation with the individuals they deem necessary.</w:t>
      </w:r>
    </w:p>
    <w:p w14:paraId="0363FB12" w14:textId="12E18941" w:rsidR="001954B4" w:rsidRPr="00E46EE4" w:rsidRDefault="001954B4" w:rsidP="00E46EE4">
      <w:pPr>
        <w:pStyle w:val="ListParagraph"/>
        <w:numPr>
          <w:ilvl w:val="0"/>
          <w:numId w:val="15"/>
        </w:numPr>
        <w:spacing w:line="240" w:lineRule="auto"/>
        <w:ind w:left="426"/>
        <w:rPr>
          <w:rFonts w:ascii="Arial" w:eastAsiaTheme="minorEastAsia" w:hAnsi="Arial" w:cs="Arial"/>
          <w:b/>
          <w:bCs/>
          <w:color w:val="F57E20"/>
          <w:kern w:val="0"/>
          <w:sz w:val="32"/>
          <w:szCs w:val="30"/>
          <w:lang w:val="en-US"/>
          <w14:ligatures w14:val="none"/>
        </w:rPr>
      </w:pPr>
      <w:r w:rsidRPr="00E46EE4">
        <w:rPr>
          <w:rFonts w:ascii="Arial" w:eastAsiaTheme="minorEastAsia" w:hAnsi="Arial" w:cs="Arial"/>
          <w:b/>
          <w:bCs/>
          <w:color w:val="F57E20"/>
          <w:kern w:val="0"/>
          <w:sz w:val="32"/>
          <w:szCs w:val="30"/>
          <w:lang w:val="en-US"/>
          <w14:ligatures w14:val="none"/>
        </w:rPr>
        <w:t xml:space="preserve">Documents supporting this </w:t>
      </w:r>
      <w:proofErr w:type="gramStart"/>
      <w:r w:rsidRPr="00E46EE4">
        <w:rPr>
          <w:rFonts w:ascii="Arial" w:eastAsiaTheme="minorEastAsia" w:hAnsi="Arial" w:cs="Arial"/>
          <w:b/>
          <w:bCs/>
          <w:color w:val="F57E20"/>
          <w:kern w:val="0"/>
          <w:sz w:val="32"/>
          <w:szCs w:val="30"/>
          <w:lang w:val="en-US"/>
          <w14:ligatures w14:val="none"/>
        </w:rPr>
        <w:t>policy</w:t>
      </w:r>
      <w:proofErr w:type="gramEnd"/>
    </w:p>
    <w:p w14:paraId="410807A0" w14:textId="77777777" w:rsidR="00E05EEF" w:rsidRPr="00E05EEF" w:rsidRDefault="00E05EEF" w:rsidP="00BC7389">
      <w:pPr>
        <w:pStyle w:val="ListParagraph"/>
        <w:ind w:left="426"/>
        <w:rPr>
          <w:b/>
          <w:bCs/>
          <w:sz w:val="18"/>
          <w:szCs w:val="18"/>
        </w:rPr>
      </w:pPr>
    </w:p>
    <w:p w14:paraId="53861930" w14:textId="04DD8370" w:rsidR="00BC7389" w:rsidRPr="00BC7389" w:rsidRDefault="00BC7389" w:rsidP="00E46EE4">
      <w:pPr>
        <w:pStyle w:val="ListParagraph"/>
        <w:ind w:left="0"/>
        <w:rPr>
          <w:b/>
          <w:bCs/>
        </w:rPr>
      </w:pPr>
      <w:r>
        <w:rPr>
          <w:b/>
          <w:bCs/>
        </w:rPr>
        <w:t>Policies</w:t>
      </w:r>
    </w:p>
    <w:p w14:paraId="75ED2E67" w14:textId="271A0C72" w:rsidR="00856496" w:rsidRPr="00E05EEF" w:rsidRDefault="00856496" w:rsidP="00E46EE4">
      <w:pPr>
        <w:pStyle w:val="ListParagraph"/>
        <w:numPr>
          <w:ilvl w:val="0"/>
          <w:numId w:val="13"/>
        </w:numPr>
        <w:ind w:left="360"/>
      </w:pPr>
      <w:r w:rsidRPr="00E05EEF">
        <w:t>Student Behaviour Management Policy</w:t>
      </w:r>
    </w:p>
    <w:p w14:paraId="0972936D" w14:textId="6C293B86" w:rsidR="00BC7389" w:rsidRPr="00E05EEF" w:rsidRDefault="00BC7389" w:rsidP="00E46EE4">
      <w:pPr>
        <w:pStyle w:val="ListParagraph"/>
        <w:numPr>
          <w:ilvl w:val="0"/>
          <w:numId w:val="12"/>
        </w:numPr>
        <w:ind w:left="360"/>
      </w:pPr>
      <w:r w:rsidRPr="00E05EEF">
        <w:t xml:space="preserve">Students at </w:t>
      </w:r>
      <w:r w:rsidR="00856496" w:rsidRPr="00E05EEF">
        <w:t>R</w:t>
      </w:r>
      <w:r w:rsidRPr="00E05EEF">
        <w:t xml:space="preserve">isk </w:t>
      </w:r>
      <w:r w:rsidR="00E05EEF" w:rsidRPr="00E05EEF">
        <w:t>P</w:t>
      </w:r>
      <w:r w:rsidRPr="00E05EEF">
        <w:t>olicy</w:t>
      </w:r>
    </w:p>
    <w:p w14:paraId="593C9E1B" w14:textId="1A5DC2E7" w:rsidR="00BC7389" w:rsidRPr="00BC7389" w:rsidRDefault="00BC7389" w:rsidP="00E46EE4">
      <w:pPr>
        <w:spacing w:after="0" w:line="240" w:lineRule="auto"/>
        <w:rPr>
          <w:b/>
          <w:bCs/>
        </w:rPr>
      </w:pPr>
      <w:r w:rsidRPr="00BC7389">
        <w:rPr>
          <w:b/>
          <w:bCs/>
        </w:rPr>
        <w:t>Procedures</w:t>
      </w:r>
    </w:p>
    <w:p w14:paraId="53F13F55" w14:textId="77777777" w:rsidR="00856496" w:rsidRPr="00891E9C" w:rsidRDefault="00856496" w:rsidP="00E46EE4">
      <w:pPr>
        <w:pStyle w:val="ListParagraph"/>
        <w:numPr>
          <w:ilvl w:val="0"/>
          <w:numId w:val="12"/>
        </w:numPr>
        <w:ind w:left="426" w:hanging="426"/>
      </w:pPr>
      <w:r w:rsidRPr="00891E9C">
        <w:t>VET Academic Appeals Procedure</w:t>
      </w:r>
    </w:p>
    <w:p w14:paraId="2D0C9DA3" w14:textId="5AD49488" w:rsidR="00BC7389" w:rsidRPr="00891E9C" w:rsidRDefault="00EA4B50" w:rsidP="00E46EE4">
      <w:pPr>
        <w:pStyle w:val="ListParagraph"/>
        <w:numPr>
          <w:ilvl w:val="0"/>
          <w:numId w:val="12"/>
        </w:numPr>
        <w:ind w:left="426" w:hanging="426"/>
      </w:pPr>
      <w:r w:rsidRPr="00891E9C">
        <w:t>Student Code of Conduct – process for managing breaches and appeals</w:t>
      </w:r>
    </w:p>
    <w:p w14:paraId="33A75E39" w14:textId="7332A12B" w:rsidR="00BC7389" w:rsidRPr="00E948E2" w:rsidRDefault="00BC7389" w:rsidP="00E46EE4">
      <w:pPr>
        <w:pStyle w:val="ListParagraph"/>
        <w:numPr>
          <w:ilvl w:val="0"/>
          <w:numId w:val="12"/>
        </w:numPr>
        <w:ind w:left="426" w:hanging="426"/>
      </w:pPr>
      <w:r w:rsidRPr="00E948E2">
        <w:t>VET Academic Appeals Procedure</w:t>
      </w:r>
    </w:p>
    <w:p w14:paraId="43A628BF" w14:textId="20C37B27" w:rsidR="00BC7389" w:rsidRPr="00BC7389" w:rsidRDefault="00BC7389" w:rsidP="00E46EE4">
      <w:pPr>
        <w:spacing w:after="0" w:line="240" w:lineRule="auto"/>
        <w:rPr>
          <w:b/>
          <w:bCs/>
        </w:rPr>
      </w:pPr>
      <w:r w:rsidRPr="00BC7389">
        <w:rPr>
          <w:b/>
          <w:bCs/>
        </w:rPr>
        <w:t>Forms</w:t>
      </w:r>
    </w:p>
    <w:p w14:paraId="7A5EDF5F" w14:textId="46043525" w:rsidR="00B375DD" w:rsidRDefault="00B375DD" w:rsidP="00E46EE4">
      <w:pPr>
        <w:pStyle w:val="ListParagraph"/>
        <w:numPr>
          <w:ilvl w:val="0"/>
          <w:numId w:val="14"/>
        </w:numPr>
        <w:ind w:left="426" w:hanging="426"/>
      </w:pPr>
      <w:r>
        <w:t>Student Management Agreement Form</w:t>
      </w:r>
    </w:p>
    <w:p w14:paraId="7C0A2432" w14:textId="77777777" w:rsidR="00B375DD" w:rsidRDefault="00B375DD" w:rsidP="00E46EE4">
      <w:pPr>
        <w:pStyle w:val="ListParagraph"/>
        <w:numPr>
          <w:ilvl w:val="0"/>
          <w:numId w:val="14"/>
        </w:numPr>
        <w:ind w:left="426" w:hanging="426"/>
      </w:pPr>
      <w:r>
        <w:t xml:space="preserve">Notice of Penalty Relating to Misconduct </w:t>
      </w:r>
    </w:p>
    <w:p w14:paraId="2C1B9630" w14:textId="77777777" w:rsidR="00B375DD" w:rsidRDefault="00B375DD" w:rsidP="00E46EE4">
      <w:pPr>
        <w:pStyle w:val="ListParagraph"/>
        <w:numPr>
          <w:ilvl w:val="0"/>
          <w:numId w:val="14"/>
        </w:numPr>
        <w:ind w:left="426" w:hanging="426"/>
      </w:pPr>
      <w:r>
        <w:t>Student Behaviour Assessment</w:t>
      </w:r>
    </w:p>
    <w:p w14:paraId="22D2C0BC" w14:textId="77777777" w:rsidR="00E46EE4" w:rsidRDefault="00E46EE4" w:rsidP="00E46EE4"/>
    <w:p w14:paraId="3BC2F205" w14:textId="77777777" w:rsidR="008F45C7" w:rsidRDefault="008F45C7" w:rsidP="00E46EE4"/>
    <w:p w14:paraId="03A7A293" w14:textId="5319341E" w:rsidR="00032A9F" w:rsidRDefault="00032A9F" w:rsidP="00E46EE4">
      <w:pPr>
        <w:pStyle w:val="ListParagraph"/>
        <w:numPr>
          <w:ilvl w:val="0"/>
          <w:numId w:val="14"/>
        </w:numPr>
        <w:ind w:left="426" w:hanging="426"/>
      </w:pPr>
      <w:r>
        <w:t>Student Behaviour Investigation Form</w:t>
      </w:r>
    </w:p>
    <w:p w14:paraId="395D8B60" w14:textId="54AC0033" w:rsidR="00B375DD" w:rsidRDefault="00B375DD" w:rsidP="00E46EE4">
      <w:pPr>
        <w:pStyle w:val="ListParagraph"/>
        <w:numPr>
          <w:ilvl w:val="0"/>
          <w:numId w:val="14"/>
        </w:numPr>
        <w:ind w:left="426" w:hanging="426"/>
      </w:pPr>
      <w:r>
        <w:t xml:space="preserve">Student Incident Report </w:t>
      </w:r>
      <w:r w:rsidR="00891E9C">
        <w:t>Level 1</w:t>
      </w:r>
      <w:r w:rsidR="00032A9F">
        <w:t xml:space="preserve"> Form</w:t>
      </w:r>
    </w:p>
    <w:p w14:paraId="514C4570" w14:textId="031B426F" w:rsidR="00BC7389" w:rsidRDefault="00891E9C" w:rsidP="00E46EE4">
      <w:pPr>
        <w:pStyle w:val="ListParagraph"/>
        <w:numPr>
          <w:ilvl w:val="0"/>
          <w:numId w:val="14"/>
        </w:numPr>
        <w:ind w:left="426" w:hanging="426"/>
      </w:pPr>
      <w:r>
        <w:t>Student Support Plan</w:t>
      </w:r>
    </w:p>
    <w:p w14:paraId="1D4D4041" w14:textId="43E828ED" w:rsidR="00891E9C" w:rsidRDefault="00891E9C" w:rsidP="00E46EE4">
      <w:pPr>
        <w:pStyle w:val="ListParagraph"/>
        <w:numPr>
          <w:ilvl w:val="0"/>
          <w:numId w:val="14"/>
        </w:numPr>
        <w:ind w:left="426" w:hanging="426"/>
      </w:pPr>
      <w:r>
        <w:t>Student Support Tool</w:t>
      </w:r>
    </w:p>
    <w:p w14:paraId="5279D928" w14:textId="31A519D5" w:rsidR="00BC7389" w:rsidRPr="00BC7389" w:rsidRDefault="00BC7389" w:rsidP="00E46EE4">
      <w:pPr>
        <w:spacing w:after="0" w:line="240" w:lineRule="auto"/>
        <w:ind w:left="567" w:hanging="567"/>
        <w:rPr>
          <w:b/>
          <w:bCs/>
        </w:rPr>
      </w:pPr>
      <w:r w:rsidRPr="00BC7389">
        <w:rPr>
          <w:b/>
          <w:bCs/>
        </w:rPr>
        <w:t>Other</w:t>
      </w:r>
    </w:p>
    <w:p w14:paraId="5D9249C5" w14:textId="56F38B05" w:rsidR="00BC7389" w:rsidRDefault="00BC7389" w:rsidP="00E46EE4">
      <w:pPr>
        <w:pStyle w:val="ListParagraph"/>
        <w:numPr>
          <w:ilvl w:val="0"/>
          <w:numId w:val="17"/>
        </w:numPr>
        <w:ind w:left="567" w:hanging="567"/>
      </w:pPr>
      <w:r>
        <w:t>NR TAFE Student Code of Conduct</w:t>
      </w:r>
    </w:p>
    <w:p w14:paraId="201F802B" w14:textId="4A9D8C38" w:rsidR="00032A9F" w:rsidRDefault="00032A9F" w:rsidP="00E46EE4">
      <w:pPr>
        <w:pStyle w:val="ListParagraph"/>
        <w:numPr>
          <w:ilvl w:val="0"/>
          <w:numId w:val="17"/>
        </w:numPr>
        <w:ind w:left="567" w:hanging="567"/>
      </w:pPr>
      <w:r>
        <w:t>NR TAFE By-Laws</w:t>
      </w:r>
    </w:p>
    <w:p w14:paraId="6563684C" w14:textId="77777777" w:rsidR="00BC7389" w:rsidRDefault="00BC7389" w:rsidP="001954B4"/>
    <w:tbl>
      <w:tblPr>
        <w:tblStyle w:val="TableGrid"/>
        <w:tblpPr w:leftFromText="180" w:rightFromText="180" w:vertAnchor="text" w:horzAnchor="page" w:tblpXSpec="center" w:tblpY="15"/>
        <w:tblW w:w="963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6"/>
        <w:gridCol w:w="7083"/>
      </w:tblGrid>
      <w:tr w:rsidR="0035675C" w:rsidRPr="00275B01" w14:paraId="738FC3BB" w14:textId="77777777" w:rsidTr="008835EB">
        <w:trPr>
          <w:jc w:val="center"/>
        </w:trPr>
        <w:tc>
          <w:tcPr>
            <w:tcW w:w="2556" w:type="dxa"/>
            <w:tcMar>
              <w:top w:w="0" w:type="dxa"/>
              <w:bottom w:w="0" w:type="dxa"/>
            </w:tcMar>
          </w:tcPr>
          <w:p w14:paraId="1D202EBA" w14:textId="77777777" w:rsidR="0035675C" w:rsidRPr="00275B01" w:rsidRDefault="0035675C" w:rsidP="0007155D">
            <w:pPr>
              <w:pStyle w:val="PolicyTableGreyText"/>
              <w:framePr w:hSpace="0" w:wrap="auto" w:vAnchor="margin" w:hAnchor="text" w:xAlign="left" w:yAlign="inline"/>
              <w:rPr>
                <w:rFonts w:ascii="Arial" w:hAnsi="Arial" w:cs="Arial"/>
              </w:rPr>
            </w:pPr>
            <w:r w:rsidRPr="00275B01">
              <w:rPr>
                <w:rFonts w:ascii="Arial" w:hAnsi="Arial" w:cs="Arial"/>
              </w:rPr>
              <w:t>Document owner</w:t>
            </w:r>
          </w:p>
        </w:tc>
        <w:tc>
          <w:tcPr>
            <w:tcW w:w="7083" w:type="dxa"/>
            <w:tcMar>
              <w:top w:w="0" w:type="dxa"/>
              <w:bottom w:w="0" w:type="dxa"/>
            </w:tcMar>
            <w:vAlign w:val="center"/>
          </w:tcPr>
          <w:p w14:paraId="76AD5B2D" w14:textId="5E31656B" w:rsidR="0035675C" w:rsidRPr="00275B01" w:rsidRDefault="0035675C" w:rsidP="0007155D">
            <w:pPr>
              <w:pStyle w:val="PolicyTableGreyText"/>
              <w:framePr w:hSpace="0" w:wrap="auto" w:vAnchor="margin" w:hAnchor="text" w:xAlign="left" w:yAlign="inline"/>
              <w:rPr>
                <w:rFonts w:ascii="Arial" w:hAnsi="Arial" w:cs="Arial"/>
              </w:rPr>
            </w:pPr>
            <w:r>
              <w:rPr>
                <w:rFonts w:ascii="Arial" w:hAnsi="Arial" w:cs="Arial"/>
              </w:rPr>
              <w:t xml:space="preserve">Executive Director Training Services </w:t>
            </w:r>
          </w:p>
        </w:tc>
      </w:tr>
      <w:tr w:rsidR="0035675C" w:rsidRPr="00275B01" w14:paraId="6EB6E83E" w14:textId="77777777" w:rsidTr="008835EB">
        <w:trPr>
          <w:jc w:val="center"/>
        </w:trPr>
        <w:tc>
          <w:tcPr>
            <w:tcW w:w="2556" w:type="dxa"/>
            <w:tcMar>
              <w:top w:w="0" w:type="dxa"/>
              <w:bottom w:w="0" w:type="dxa"/>
            </w:tcMar>
          </w:tcPr>
          <w:p w14:paraId="0E89EE50" w14:textId="74AAD9E9" w:rsidR="0035675C" w:rsidRPr="00275B01" w:rsidRDefault="0035675C" w:rsidP="0007155D">
            <w:pPr>
              <w:pStyle w:val="PolicyTableGreyText"/>
              <w:framePr w:hSpace="0" w:wrap="auto" w:vAnchor="margin" w:hAnchor="text" w:xAlign="left" w:yAlign="inline"/>
              <w:rPr>
                <w:rFonts w:ascii="Arial" w:hAnsi="Arial" w:cs="Arial"/>
              </w:rPr>
            </w:pPr>
            <w:r>
              <w:rPr>
                <w:rFonts w:ascii="Arial" w:hAnsi="Arial" w:cs="Arial"/>
              </w:rPr>
              <w:t>Subject matter expert</w:t>
            </w:r>
          </w:p>
        </w:tc>
        <w:tc>
          <w:tcPr>
            <w:tcW w:w="7083" w:type="dxa"/>
            <w:tcMar>
              <w:top w:w="0" w:type="dxa"/>
              <w:bottom w:w="0" w:type="dxa"/>
            </w:tcMar>
            <w:vAlign w:val="center"/>
          </w:tcPr>
          <w:p w14:paraId="5C8829C2" w14:textId="7E3F7D95" w:rsidR="0035675C" w:rsidRPr="00275B01" w:rsidRDefault="0035675C" w:rsidP="0007155D">
            <w:pPr>
              <w:pStyle w:val="PolicyTableGreyText"/>
              <w:framePr w:hSpace="0" w:wrap="auto" w:vAnchor="margin" w:hAnchor="text" w:xAlign="left" w:yAlign="inline"/>
              <w:rPr>
                <w:rFonts w:ascii="Arial" w:hAnsi="Arial" w:cs="Arial"/>
              </w:rPr>
            </w:pPr>
            <w:r w:rsidRPr="00275B01">
              <w:rPr>
                <w:rFonts w:ascii="Arial" w:hAnsi="Arial" w:cs="Arial"/>
              </w:rPr>
              <w:t>Director Organisational Services</w:t>
            </w:r>
            <w:r>
              <w:rPr>
                <w:rFonts w:ascii="Arial" w:hAnsi="Arial" w:cs="Arial"/>
              </w:rPr>
              <w:t xml:space="preserve"> and Directors </w:t>
            </w:r>
            <w:r w:rsidRPr="00275B01">
              <w:rPr>
                <w:rFonts w:ascii="Arial" w:hAnsi="Arial" w:cs="Arial"/>
              </w:rPr>
              <w:t xml:space="preserve">Training </w:t>
            </w:r>
            <w:r>
              <w:rPr>
                <w:rFonts w:ascii="Arial" w:hAnsi="Arial" w:cs="Arial"/>
              </w:rPr>
              <w:t xml:space="preserve">Services </w:t>
            </w:r>
          </w:p>
        </w:tc>
      </w:tr>
      <w:tr w:rsidR="0035675C" w:rsidRPr="00275B01" w14:paraId="37262558" w14:textId="77777777" w:rsidTr="008835EB">
        <w:trPr>
          <w:jc w:val="center"/>
        </w:trPr>
        <w:tc>
          <w:tcPr>
            <w:tcW w:w="2556" w:type="dxa"/>
            <w:tcMar>
              <w:top w:w="0" w:type="dxa"/>
              <w:bottom w:w="0" w:type="dxa"/>
            </w:tcMar>
          </w:tcPr>
          <w:p w14:paraId="2CEC30F2" w14:textId="59A633C8" w:rsidR="0035675C" w:rsidRDefault="0035675C" w:rsidP="0007155D">
            <w:pPr>
              <w:pStyle w:val="PolicyTableGreyText"/>
              <w:framePr w:hSpace="0" w:wrap="auto" w:vAnchor="margin" w:hAnchor="text" w:xAlign="left" w:yAlign="inline"/>
              <w:rPr>
                <w:rFonts w:ascii="Arial" w:hAnsi="Arial" w:cs="Arial"/>
              </w:rPr>
            </w:pPr>
            <w:r>
              <w:rPr>
                <w:rFonts w:ascii="Arial" w:hAnsi="Arial" w:cs="Arial"/>
              </w:rPr>
              <w:t xml:space="preserve">Date </w:t>
            </w:r>
            <w:r w:rsidR="00A73093">
              <w:rPr>
                <w:rFonts w:ascii="Arial" w:hAnsi="Arial" w:cs="Arial"/>
              </w:rPr>
              <w:t>created:</w:t>
            </w:r>
          </w:p>
        </w:tc>
        <w:tc>
          <w:tcPr>
            <w:tcW w:w="7083" w:type="dxa"/>
            <w:tcMar>
              <w:top w:w="0" w:type="dxa"/>
              <w:bottom w:w="0" w:type="dxa"/>
            </w:tcMar>
            <w:vAlign w:val="center"/>
          </w:tcPr>
          <w:p w14:paraId="7C1E72C7" w14:textId="380DBA7B" w:rsidR="0035675C" w:rsidRPr="00275B01" w:rsidRDefault="00A73093" w:rsidP="0007155D">
            <w:pPr>
              <w:pStyle w:val="PolicyTableGreyText"/>
              <w:framePr w:hSpace="0" w:wrap="auto" w:vAnchor="margin" w:hAnchor="text" w:xAlign="left" w:yAlign="inline"/>
              <w:rPr>
                <w:rFonts w:ascii="Arial" w:hAnsi="Arial" w:cs="Arial"/>
              </w:rPr>
            </w:pPr>
            <w:r>
              <w:rPr>
                <w:rFonts w:ascii="Arial" w:hAnsi="Arial" w:cs="Arial"/>
              </w:rPr>
              <w:t>May 2024</w:t>
            </w:r>
          </w:p>
        </w:tc>
      </w:tr>
      <w:tr w:rsidR="00A73093" w:rsidRPr="00275B01" w14:paraId="52F5E356" w14:textId="77777777" w:rsidTr="008835EB">
        <w:trPr>
          <w:jc w:val="center"/>
        </w:trPr>
        <w:tc>
          <w:tcPr>
            <w:tcW w:w="2556" w:type="dxa"/>
            <w:tcMar>
              <w:top w:w="0" w:type="dxa"/>
              <w:bottom w:w="0" w:type="dxa"/>
            </w:tcMar>
          </w:tcPr>
          <w:p w14:paraId="199D32CA" w14:textId="4DDAD177" w:rsidR="00A73093" w:rsidRDefault="00A73093" w:rsidP="0007155D">
            <w:pPr>
              <w:pStyle w:val="PolicyTableGreyText"/>
              <w:framePr w:hSpace="0" w:wrap="auto" w:vAnchor="margin" w:hAnchor="text" w:xAlign="left" w:yAlign="inline"/>
              <w:rPr>
                <w:rFonts w:ascii="Arial" w:hAnsi="Arial" w:cs="Arial"/>
              </w:rPr>
            </w:pPr>
            <w:r>
              <w:rPr>
                <w:rFonts w:ascii="Arial" w:hAnsi="Arial" w:cs="Arial"/>
              </w:rPr>
              <w:t>Date to be reviewed:</w:t>
            </w:r>
          </w:p>
        </w:tc>
        <w:tc>
          <w:tcPr>
            <w:tcW w:w="7083" w:type="dxa"/>
            <w:tcMar>
              <w:top w:w="0" w:type="dxa"/>
              <w:bottom w:w="0" w:type="dxa"/>
            </w:tcMar>
            <w:vAlign w:val="center"/>
          </w:tcPr>
          <w:p w14:paraId="3EB22302" w14:textId="3D732A81" w:rsidR="00A73093" w:rsidRPr="00275B01" w:rsidRDefault="00A73093" w:rsidP="0007155D">
            <w:pPr>
              <w:pStyle w:val="PolicyTableGreyText"/>
              <w:framePr w:hSpace="0" w:wrap="auto" w:vAnchor="margin" w:hAnchor="text" w:xAlign="left" w:yAlign="inline"/>
              <w:rPr>
                <w:rFonts w:ascii="Arial" w:hAnsi="Arial" w:cs="Arial"/>
              </w:rPr>
            </w:pPr>
            <w:r>
              <w:rPr>
                <w:rFonts w:ascii="Arial" w:hAnsi="Arial" w:cs="Arial"/>
              </w:rPr>
              <w:t>May 2026</w:t>
            </w:r>
          </w:p>
        </w:tc>
      </w:tr>
    </w:tbl>
    <w:p w14:paraId="2D86597C" w14:textId="77777777" w:rsidR="00BC7389" w:rsidRDefault="00BC7389" w:rsidP="001954B4"/>
    <w:sectPr w:rsidR="00BC73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B298F" w14:textId="77777777" w:rsidR="00A963BE" w:rsidRDefault="00A963BE" w:rsidP="00746480">
      <w:pPr>
        <w:spacing w:after="0" w:line="240" w:lineRule="auto"/>
      </w:pPr>
      <w:r>
        <w:separator/>
      </w:r>
    </w:p>
  </w:endnote>
  <w:endnote w:type="continuationSeparator" w:id="0">
    <w:p w14:paraId="30A4B5C6" w14:textId="77777777" w:rsidR="00A963BE" w:rsidRDefault="00A963BE" w:rsidP="0074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D25B7" w14:textId="77777777" w:rsidR="00CB0BAB" w:rsidRDefault="00CB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0424817"/>
      <w:docPartObj>
        <w:docPartGallery w:val="Page Numbers (Bottom of Page)"/>
        <w:docPartUnique/>
      </w:docPartObj>
    </w:sdtPr>
    <w:sdtEndPr>
      <w:rPr>
        <w:noProof/>
        <w:color w:val="FFFFFF" w:themeColor="background1"/>
      </w:rPr>
    </w:sdtEndPr>
    <w:sdtContent>
      <w:p w14:paraId="67D12538" w14:textId="13B68132" w:rsidR="00CB0BAB" w:rsidRPr="00CB0BAB" w:rsidRDefault="00CB0BAB">
        <w:pPr>
          <w:pStyle w:val="Footer"/>
          <w:jc w:val="right"/>
          <w:rPr>
            <w:color w:val="FFFFFF" w:themeColor="background1"/>
          </w:rPr>
        </w:pPr>
        <w:r>
          <w:rPr>
            <w:noProof/>
          </w:rPr>
          <mc:AlternateContent>
            <mc:Choice Requires="wps">
              <w:drawing>
                <wp:anchor distT="45720" distB="45720" distL="114300" distR="114300" simplePos="0" relativeHeight="251661312" behindDoc="0" locked="0" layoutInCell="1" allowOverlap="1" wp14:anchorId="0D4A6C50" wp14:editId="35E74D8F">
                  <wp:simplePos x="0" y="0"/>
                  <wp:positionH relativeFrom="column">
                    <wp:posOffset>-266700</wp:posOffset>
                  </wp:positionH>
                  <wp:positionV relativeFrom="paragraph">
                    <wp:posOffset>15875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F62FDA" w14:textId="51EB71D9" w:rsidR="00CB0BAB" w:rsidRPr="00CB0BAB" w:rsidRDefault="00CB0BAB" w:rsidP="00CB0BAB">
                              <w:pPr>
                                <w:rPr>
                                  <w:rFonts w:ascii="Arial" w:hAnsi="Arial" w:cs="Arial"/>
                                  <w:color w:val="FFFFFF" w:themeColor="background1"/>
                                </w:rPr>
                              </w:pPr>
                              <w:r w:rsidRPr="00CB0BAB">
                                <w:rPr>
                                  <w:rFonts w:ascii="Arial" w:hAnsi="Arial" w:cs="Arial"/>
                                  <w:color w:val="FFFFFF" w:themeColor="background1"/>
                                </w:rPr>
                                <w:t xml:space="preserve">Behaviour Management Policy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A6C50" id="_x0000_t202" coordsize="21600,21600" o:spt="202" path="m,l,21600r21600,l21600,xe">
                  <v:stroke joinstyle="miter"/>
                  <v:path gradientshapeok="t" o:connecttype="rect"/>
                </v:shapetype>
                <v:shape id="Text Box 2" o:spid="_x0000_s1026" type="#_x0000_t202" style="position:absolute;left:0;text-align:left;margin-left:-21pt;margin-top:1.2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WLQIAAKI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" filled="f" stroked="f">
                  <v:textbox style="mso-fit-shape-to-text:t">
                    <w:txbxContent>
                      <w:p w14:paraId="5CF62FDA" w14:textId="51EB71D9" w:rsidR="00CB0BAB" w:rsidRPr="00CB0BAB" w:rsidRDefault="00CB0BAB" w:rsidP="00CB0BAB">
                        <w:pPr>
                          <w:rPr>
                            <w:rFonts w:ascii="Arial" w:hAnsi="Arial" w:cs="Arial"/>
                            <w:color w:val="FFFFFF" w:themeColor="background1"/>
                          </w:rPr>
                        </w:pPr>
                        <w:r w:rsidRPr="00CB0BAB">
                          <w:rPr>
                            <w:rFonts w:ascii="Arial" w:hAnsi="Arial" w:cs="Arial"/>
                            <w:color w:val="FFFFFF" w:themeColor="background1"/>
                          </w:rPr>
                          <w:t xml:space="preserve">Behaviour Management Policy </w:t>
                        </w:r>
                      </w:p>
                    </w:txbxContent>
                  </v:textbox>
                  <w10:wrap type="square"/>
                </v:shape>
              </w:pict>
            </mc:Fallback>
          </mc:AlternateContent>
        </w:r>
        <w:r w:rsidRPr="00CB0BAB">
          <w:rPr>
            <w:color w:val="FFFFFF" w:themeColor="background1"/>
          </w:rPr>
          <w:fldChar w:fldCharType="begin"/>
        </w:r>
        <w:r w:rsidRPr="00CB0BAB">
          <w:rPr>
            <w:color w:val="FFFFFF" w:themeColor="background1"/>
          </w:rPr>
          <w:instrText xml:space="preserve"> PAGE   \* MERGEFORMAT </w:instrText>
        </w:r>
        <w:r w:rsidRPr="00CB0BAB">
          <w:rPr>
            <w:color w:val="FFFFFF" w:themeColor="background1"/>
          </w:rPr>
          <w:fldChar w:fldCharType="separate"/>
        </w:r>
        <w:r w:rsidRPr="00CB0BAB">
          <w:rPr>
            <w:noProof/>
            <w:color w:val="FFFFFF" w:themeColor="background1"/>
          </w:rPr>
          <w:t>2</w:t>
        </w:r>
        <w:r w:rsidRPr="00CB0BAB">
          <w:rPr>
            <w:noProof/>
            <w:color w:val="FFFFFF" w:themeColor="background1"/>
          </w:rPr>
          <w:fldChar w:fldCharType="end"/>
        </w:r>
      </w:p>
    </w:sdtContent>
  </w:sdt>
  <w:p w14:paraId="49BC94AC" w14:textId="7051F87B" w:rsidR="008F45C7" w:rsidRDefault="00CB0BAB" w:rsidP="00CB0BAB">
    <w:pPr>
      <w:pStyle w:val="Footer"/>
      <w:tabs>
        <w:tab w:val="clear" w:pos="4513"/>
        <w:tab w:val="clear" w:pos="9026"/>
        <w:tab w:val="left" w:pos="11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E66BB" w14:textId="77777777" w:rsidR="00CB0BAB" w:rsidRDefault="00CB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6901E" w14:textId="77777777" w:rsidR="00A963BE" w:rsidRDefault="00A963BE" w:rsidP="00746480">
      <w:pPr>
        <w:spacing w:after="0" w:line="240" w:lineRule="auto"/>
      </w:pPr>
      <w:r>
        <w:separator/>
      </w:r>
    </w:p>
  </w:footnote>
  <w:footnote w:type="continuationSeparator" w:id="0">
    <w:p w14:paraId="3AD36E9B" w14:textId="77777777" w:rsidR="00A963BE" w:rsidRDefault="00A963BE" w:rsidP="0074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615F7" w14:textId="77777777" w:rsidR="00CB0BAB" w:rsidRDefault="00CB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0FB6C" w14:textId="368882C9" w:rsidR="00746480" w:rsidRDefault="00CB0BAB">
    <w:pPr>
      <w:pStyle w:val="Header"/>
    </w:pPr>
    <w:r>
      <w:rPr>
        <w:noProof/>
      </w:rPr>
      <w:t xml:space="preserve"> </w:t>
    </w:r>
    <w:r w:rsidR="00746480">
      <w:rPr>
        <w:noProof/>
      </w:rPr>
      <w:drawing>
        <wp:anchor distT="0" distB="0" distL="114300" distR="114300" simplePos="0" relativeHeight="251659264" behindDoc="1" locked="0" layoutInCell="1" allowOverlap="1" wp14:anchorId="128505BC" wp14:editId="40BE582F">
          <wp:simplePos x="0" y="0"/>
          <wp:positionH relativeFrom="page">
            <wp:posOffset>-31805</wp:posOffset>
          </wp:positionH>
          <wp:positionV relativeFrom="page">
            <wp:align>top</wp:align>
          </wp:positionV>
          <wp:extent cx="7556664" cy="10692000"/>
          <wp:effectExtent l="0" t="0" r="6350" b="0"/>
          <wp:wrapNone/>
          <wp:docPr id="1394715465" name="Picture 1394715465" descr="A white background with pink and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905643" name="Picture 2" descr="A white background with pink and white dots&#10;&#10;Description automatically generated"/>
                  <pic:cNvPicPr/>
                </pic:nvPicPr>
                <pic:blipFill>
                  <a:blip r:embed="rId1"/>
                  <a:stretch>
                    <a:fillRect/>
                  </a:stretch>
                </pic:blipFill>
                <pic:spPr>
                  <a:xfrm>
                    <a:off x="0" y="0"/>
                    <a:ext cx="755666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3BDE3" w14:textId="77777777" w:rsidR="00CB0BAB" w:rsidRDefault="00CB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83B25"/>
    <w:multiLevelType w:val="multilevel"/>
    <w:tmpl w:val="80466006"/>
    <w:lvl w:ilvl="0">
      <w:start w:val="5"/>
      <w:numFmt w:val="decimal"/>
      <w:lvlText w:val="%1"/>
      <w:lvlJc w:val="left"/>
      <w:pPr>
        <w:ind w:left="657"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99"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791" w:hanging="1440"/>
      </w:pPr>
      <w:rPr>
        <w:rFonts w:hint="default"/>
      </w:rPr>
    </w:lvl>
    <w:lvl w:ilvl="5">
      <w:start w:val="1"/>
      <w:numFmt w:val="decimal"/>
      <w:lvlText w:val="%1.%2.%3.%4.%5.%6"/>
      <w:lvlJc w:val="left"/>
      <w:pPr>
        <w:ind w:left="5937" w:hanging="1800"/>
      </w:pPr>
      <w:rPr>
        <w:rFonts w:hint="default"/>
      </w:rPr>
    </w:lvl>
    <w:lvl w:ilvl="6">
      <w:start w:val="1"/>
      <w:numFmt w:val="decimal"/>
      <w:lvlText w:val="%1.%2.%3.%4.%5.%6.%7"/>
      <w:lvlJc w:val="left"/>
      <w:pPr>
        <w:ind w:left="6723" w:hanging="1800"/>
      </w:pPr>
      <w:rPr>
        <w:rFonts w:hint="default"/>
      </w:rPr>
    </w:lvl>
    <w:lvl w:ilvl="7">
      <w:start w:val="1"/>
      <w:numFmt w:val="decimal"/>
      <w:lvlText w:val="%1.%2.%3.%4.%5.%6.%7.%8"/>
      <w:lvlJc w:val="left"/>
      <w:pPr>
        <w:ind w:left="7869" w:hanging="2160"/>
      </w:pPr>
      <w:rPr>
        <w:rFonts w:hint="default"/>
      </w:rPr>
    </w:lvl>
    <w:lvl w:ilvl="8">
      <w:start w:val="1"/>
      <w:numFmt w:val="decimal"/>
      <w:lvlText w:val="%1.%2.%3.%4.%5.%6.%7.%8.%9"/>
      <w:lvlJc w:val="left"/>
      <w:pPr>
        <w:ind w:left="9015" w:hanging="2520"/>
      </w:pPr>
      <w:rPr>
        <w:rFonts w:hint="default"/>
      </w:rPr>
    </w:lvl>
  </w:abstractNum>
  <w:abstractNum w:abstractNumId="1" w15:restartNumberingAfterBreak="0">
    <w:nsid w:val="0AA7686B"/>
    <w:multiLevelType w:val="hybridMultilevel"/>
    <w:tmpl w:val="43A0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76EE9"/>
    <w:multiLevelType w:val="multilevel"/>
    <w:tmpl w:val="6C8CAA5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6D821C4"/>
    <w:multiLevelType w:val="hybridMultilevel"/>
    <w:tmpl w:val="E0966BE8"/>
    <w:lvl w:ilvl="0" w:tplc="8F1A7286">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19E9419F"/>
    <w:multiLevelType w:val="hybridMultilevel"/>
    <w:tmpl w:val="7686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80B24"/>
    <w:multiLevelType w:val="multilevel"/>
    <w:tmpl w:val="471A05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4603B"/>
    <w:multiLevelType w:val="hybridMultilevel"/>
    <w:tmpl w:val="092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D11CF"/>
    <w:multiLevelType w:val="hybridMultilevel"/>
    <w:tmpl w:val="68B2FB50"/>
    <w:lvl w:ilvl="0" w:tplc="0C090001">
      <w:start w:val="1"/>
      <w:numFmt w:val="bullet"/>
      <w:lvlText w:val=""/>
      <w:lvlJc w:val="left"/>
      <w:pPr>
        <w:ind w:left="786" w:hanging="360"/>
      </w:pPr>
      <w:rPr>
        <w:rFonts w:ascii="Symbol" w:hAnsi="Symbol"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2CDC2358"/>
    <w:multiLevelType w:val="hybridMultilevel"/>
    <w:tmpl w:val="17125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524D6"/>
    <w:multiLevelType w:val="hybridMultilevel"/>
    <w:tmpl w:val="DDBE582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3AD2AD5"/>
    <w:multiLevelType w:val="hybridMultilevel"/>
    <w:tmpl w:val="AB4CF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A36C3"/>
    <w:multiLevelType w:val="multilevel"/>
    <w:tmpl w:val="39802B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D17D66"/>
    <w:multiLevelType w:val="hybridMultilevel"/>
    <w:tmpl w:val="7C0C4E22"/>
    <w:lvl w:ilvl="0" w:tplc="C09CA318">
      <w:start w:val="2"/>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558D428A"/>
    <w:multiLevelType w:val="hybridMultilevel"/>
    <w:tmpl w:val="BA60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DE2F53"/>
    <w:multiLevelType w:val="multilevel"/>
    <w:tmpl w:val="7EAAB8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A85847"/>
    <w:multiLevelType w:val="hybridMultilevel"/>
    <w:tmpl w:val="BAAE5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D7606B"/>
    <w:multiLevelType w:val="hybridMultilevel"/>
    <w:tmpl w:val="4E3E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B73995"/>
    <w:multiLevelType w:val="hybridMultilevel"/>
    <w:tmpl w:val="8AD82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80313"/>
    <w:multiLevelType w:val="hybridMultilevel"/>
    <w:tmpl w:val="2ED64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F9698A"/>
    <w:multiLevelType w:val="hybridMultilevel"/>
    <w:tmpl w:val="615C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0F0EF9"/>
    <w:multiLevelType w:val="hybridMultilevel"/>
    <w:tmpl w:val="4D8E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0745632">
    <w:abstractNumId w:val="11"/>
  </w:num>
  <w:num w:numId="2" w16cid:durableId="1329600644">
    <w:abstractNumId w:val="10"/>
  </w:num>
  <w:num w:numId="3" w16cid:durableId="1971326736">
    <w:abstractNumId w:val="14"/>
  </w:num>
  <w:num w:numId="4" w16cid:durableId="10879045">
    <w:abstractNumId w:val="1"/>
  </w:num>
  <w:num w:numId="5" w16cid:durableId="1775053178">
    <w:abstractNumId w:val="13"/>
  </w:num>
  <w:num w:numId="6" w16cid:durableId="1732265828">
    <w:abstractNumId w:val="4"/>
  </w:num>
  <w:num w:numId="7" w16cid:durableId="711344775">
    <w:abstractNumId w:val="19"/>
  </w:num>
  <w:num w:numId="8" w16cid:durableId="2132354901">
    <w:abstractNumId w:val="6"/>
  </w:num>
  <w:num w:numId="9" w16cid:durableId="1390224865">
    <w:abstractNumId w:val="17"/>
  </w:num>
  <w:num w:numId="10" w16cid:durableId="2009823722">
    <w:abstractNumId w:val="15"/>
  </w:num>
  <w:num w:numId="11" w16cid:durableId="1300568681">
    <w:abstractNumId w:val="16"/>
  </w:num>
  <w:num w:numId="12" w16cid:durableId="1256212151">
    <w:abstractNumId w:val="8"/>
  </w:num>
  <w:num w:numId="13" w16cid:durableId="423065932">
    <w:abstractNumId w:val="9"/>
  </w:num>
  <w:num w:numId="14" w16cid:durableId="580019856">
    <w:abstractNumId w:val="20"/>
  </w:num>
  <w:num w:numId="15" w16cid:durableId="2009939230">
    <w:abstractNumId w:val="12"/>
  </w:num>
  <w:num w:numId="16" w16cid:durableId="967392830">
    <w:abstractNumId w:val="5"/>
  </w:num>
  <w:num w:numId="17" w16cid:durableId="1581057011">
    <w:abstractNumId w:val="7"/>
  </w:num>
  <w:num w:numId="18" w16cid:durableId="310257960">
    <w:abstractNumId w:val="18"/>
  </w:num>
  <w:num w:numId="19" w16cid:durableId="1553347865">
    <w:abstractNumId w:val="3"/>
  </w:num>
  <w:num w:numId="20" w16cid:durableId="802819168">
    <w:abstractNumId w:val="0"/>
  </w:num>
  <w:num w:numId="21" w16cid:durableId="157057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42"/>
    <w:rsid w:val="00032A9F"/>
    <w:rsid w:val="000772A2"/>
    <w:rsid w:val="00085A3D"/>
    <w:rsid w:val="000A426E"/>
    <w:rsid w:val="000E3062"/>
    <w:rsid w:val="000F73D9"/>
    <w:rsid w:val="00111019"/>
    <w:rsid w:val="0014058D"/>
    <w:rsid w:val="00166384"/>
    <w:rsid w:val="00186179"/>
    <w:rsid w:val="001954B4"/>
    <w:rsid w:val="001A2256"/>
    <w:rsid w:val="002C16AD"/>
    <w:rsid w:val="002F0AD8"/>
    <w:rsid w:val="002F7E6B"/>
    <w:rsid w:val="0035675C"/>
    <w:rsid w:val="00403371"/>
    <w:rsid w:val="004A452D"/>
    <w:rsid w:val="004C45E6"/>
    <w:rsid w:val="004D1298"/>
    <w:rsid w:val="00501CF5"/>
    <w:rsid w:val="00567C0C"/>
    <w:rsid w:val="0060353C"/>
    <w:rsid w:val="00621E49"/>
    <w:rsid w:val="00636169"/>
    <w:rsid w:val="006847D1"/>
    <w:rsid w:val="006D50F7"/>
    <w:rsid w:val="00746480"/>
    <w:rsid w:val="0078628A"/>
    <w:rsid w:val="008413FA"/>
    <w:rsid w:val="00856496"/>
    <w:rsid w:val="008835EB"/>
    <w:rsid w:val="00890F76"/>
    <w:rsid w:val="00891E9C"/>
    <w:rsid w:val="008C6A31"/>
    <w:rsid w:val="008F45C7"/>
    <w:rsid w:val="009F4A42"/>
    <w:rsid w:val="00A73093"/>
    <w:rsid w:val="00A914B0"/>
    <w:rsid w:val="00A963BE"/>
    <w:rsid w:val="00B375DD"/>
    <w:rsid w:val="00B6107E"/>
    <w:rsid w:val="00BA341E"/>
    <w:rsid w:val="00BC7389"/>
    <w:rsid w:val="00C905AD"/>
    <w:rsid w:val="00CB0BAB"/>
    <w:rsid w:val="00D9498A"/>
    <w:rsid w:val="00D97699"/>
    <w:rsid w:val="00E05EEF"/>
    <w:rsid w:val="00E171E5"/>
    <w:rsid w:val="00E46EE4"/>
    <w:rsid w:val="00E8436D"/>
    <w:rsid w:val="00E948E2"/>
    <w:rsid w:val="00EA4B50"/>
    <w:rsid w:val="00EB4F68"/>
    <w:rsid w:val="00F91143"/>
    <w:rsid w:val="00FA0E6F"/>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8B97E"/>
  <w15:chartTrackingRefBased/>
  <w15:docId w15:val="{61400606-9013-4686-9941-0785942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A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4A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4A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4A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4A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4A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4A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4A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4A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4A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4A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4A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4A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4A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4A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4A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4A42"/>
    <w:rPr>
      <w:rFonts w:eastAsiaTheme="majorEastAsia" w:cstheme="majorBidi"/>
      <w:color w:val="272727" w:themeColor="text1" w:themeTint="D8"/>
    </w:rPr>
  </w:style>
  <w:style w:type="paragraph" w:styleId="Title">
    <w:name w:val="Title"/>
    <w:basedOn w:val="Normal"/>
    <w:next w:val="Normal"/>
    <w:link w:val="TitleChar"/>
    <w:uiPriority w:val="10"/>
    <w:qFormat/>
    <w:rsid w:val="009F4A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A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4A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4A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4A42"/>
    <w:pPr>
      <w:spacing w:before="160"/>
      <w:jc w:val="center"/>
    </w:pPr>
    <w:rPr>
      <w:i/>
      <w:iCs/>
      <w:color w:val="404040" w:themeColor="text1" w:themeTint="BF"/>
    </w:rPr>
  </w:style>
  <w:style w:type="character" w:customStyle="1" w:styleId="QuoteChar">
    <w:name w:val="Quote Char"/>
    <w:basedOn w:val="DefaultParagraphFont"/>
    <w:link w:val="Quote"/>
    <w:uiPriority w:val="29"/>
    <w:rsid w:val="009F4A42"/>
    <w:rPr>
      <w:i/>
      <w:iCs/>
      <w:color w:val="404040" w:themeColor="text1" w:themeTint="BF"/>
    </w:rPr>
  </w:style>
  <w:style w:type="paragraph" w:styleId="ListParagraph">
    <w:name w:val="List Paragraph"/>
    <w:basedOn w:val="Normal"/>
    <w:uiPriority w:val="34"/>
    <w:qFormat/>
    <w:rsid w:val="009F4A42"/>
    <w:pPr>
      <w:ind w:left="720"/>
      <w:contextualSpacing/>
    </w:pPr>
  </w:style>
  <w:style w:type="character" w:styleId="IntenseEmphasis">
    <w:name w:val="Intense Emphasis"/>
    <w:basedOn w:val="DefaultParagraphFont"/>
    <w:uiPriority w:val="21"/>
    <w:qFormat/>
    <w:rsid w:val="009F4A42"/>
    <w:rPr>
      <w:i/>
      <w:iCs/>
      <w:color w:val="0F4761" w:themeColor="accent1" w:themeShade="BF"/>
    </w:rPr>
  </w:style>
  <w:style w:type="paragraph" w:styleId="IntenseQuote">
    <w:name w:val="Intense Quote"/>
    <w:basedOn w:val="Normal"/>
    <w:next w:val="Normal"/>
    <w:link w:val="IntenseQuoteChar"/>
    <w:uiPriority w:val="30"/>
    <w:qFormat/>
    <w:rsid w:val="009F4A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4A42"/>
    <w:rPr>
      <w:i/>
      <w:iCs/>
      <w:color w:val="0F4761" w:themeColor="accent1" w:themeShade="BF"/>
    </w:rPr>
  </w:style>
  <w:style w:type="character" w:styleId="IntenseReference">
    <w:name w:val="Intense Reference"/>
    <w:basedOn w:val="DefaultParagraphFont"/>
    <w:uiPriority w:val="32"/>
    <w:qFormat/>
    <w:rsid w:val="009F4A42"/>
    <w:rPr>
      <w:b/>
      <w:bCs/>
      <w:smallCaps/>
      <w:color w:val="0F4761" w:themeColor="accent1" w:themeShade="BF"/>
      <w:spacing w:val="5"/>
    </w:rPr>
  </w:style>
  <w:style w:type="table" w:styleId="TableGrid">
    <w:name w:val="Table Grid"/>
    <w:basedOn w:val="TableNormal"/>
    <w:uiPriority w:val="39"/>
    <w:rsid w:val="0056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80"/>
  </w:style>
  <w:style w:type="paragraph" w:styleId="Footer">
    <w:name w:val="footer"/>
    <w:basedOn w:val="Normal"/>
    <w:link w:val="FooterChar"/>
    <w:uiPriority w:val="99"/>
    <w:unhideWhenUsed/>
    <w:rsid w:val="00746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80"/>
  </w:style>
  <w:style w:type="paragraph" w:customStyle="1" w:styleId="PolicyTableGreyText">
    <w:name w:val="Policy Table Grey Text"/>
    <w:basedOn w:val="Normal"/>
    <w:link w:val="PolicyTableGreyTextChar"/>
    <w:qFormat/>
    <w:rsid w:val="0035675C"/>
    <w:pPr>
      <w:framePr w:hSpace="180" w:wrap="around" w:vAnchor="text" w:hAnchor="page" w:xAlign="center" w:y="15"/>
      <w:widowControl w:val="0"/>
      <w:suppressAutoHyphens/>
      <w:autoSpaceDE w:val="0"/>
      <w:autoSpaceDN w:val="0"/>
      <w:adjustRightInd w:val="0"/>
      <w:spacing w:before="40" w:after="40" w:line="240" w:lineRule="auto"/>
      <w:textAlignment w:val="center"/>
    </w:pPr>
    <w:rPr>
      <w:rFonts w:ascii="Calibri" w:hAnsi="Calibri" w:cs="Calibri"/>
      <w:color w:val="808080" w:themeColor="background1" w:themeShade="80"/>
      <w:kern w:val="0"/>
      <w:sz w:val="18"/>
      <w:szCs w:val="18"/>
      <w14:ligatures w14:val="none"/>
    </w:rPr>
  </w:style>
  <w:style w:type="paragraph" w:customStyle="1" w:styleId="PolicyTableHyperlink">
    <w:name w:val="Policy Table Hyperlink"/>
    <w:basedOn w:val="PolicyTableGreyText"/>
    <w:link w:val="PolicyTableHyperlinkChar"/>
    <w:qFormat/>
    <w:rsid w:val="0035675C"/>
    <w:pPr>
      <w:framePr w:wrap="around"/>
    </w:pPr>
    <w:rPr>
      <w:u w:val="single"/>
    </w:rPr>
  </w:style>
  <w:style w:type="character" w:customStyle="1" w:styleId="PolicyTableGreyTextChar">
    <w:name w:val="Policy Table Grey Text Char"/>
    <w:basedOn w:val="DefaultParagraphFont"/>
    <w:link w:val="PolicyTableGreyText"/>
    <w:rsid w:val="0035675C"/>
    <w:rPr>
      <w:rFonts w:ascii="Calibri" w:hAnsi="Calibri" w:cs="Calibri"/>
      <w:color w:val="808080" w:themeColor="background1" w:themeShade="80"/>
      <w:kern w:val="0"/>
      <w:sz w:val="18"/>
      <w:szCs w:val="18"/>
      <w14:ligatures w14:val="none"/>
    </w:rPr>
  </w:style>
  <w:style w:type="character" w:customStyle="1" w:styleId="PolicyTableHyperlinkChar">
    <w:name w:val="Policy Table Hyperlink Char"/>
    <w:basedOn w:val="PolicyTableGreyTextChar"/>
    <w:link w:val="PolicyTableHyperlink"/>
    <w:rsid w:val="0035675C"/>
    <w:rPr>
      <w:rFonts w:ascii="Calibri" w:hAnsi="Calibri" w:cs="Calibri"/>
      <w:color w:val="808080" w:themeColor="background1" w:themeShade="80"/>
      <w:kern w:val="0"/>
      <w:sz w:val="18"/>
      <w:szCs w:val="18"/>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4C4B304C1FB4B93E4572D5D568DE3" ma:contentTypeVersion="11" ma:contentTypeDescription="Create a new document." ma:contentTypeScope="" ma:versionID="0e961a9cff5dfe0b834bd38f08b664b2">
  <xsd:schema xmlns:xsd="http://www.w3.org/2001/XMLSchema" xmlns:xs="http://www.w3.org/2001/XMLSchema" xmlns:p="http://schemas.microsoft.com/office/2006/metadata/properties" xmlns:ns2="5730b431-a29b-4192-9f58-310fd9ffd337" xmlns:ns3="f76bb202-e0ee-44b5-81bd-1165e74daad9" xmlns:ns4="ee622a62-f985-4472-a6f4-6a546ffa53e6" targetNamespace="http://schemas.microsoft.com/office/2006/metadata/properties" ma:root="true" ma:fieldsID="f8758a17686b5f8f80307d739fe34f9f" ns2:_="" ns3:_="" ns4:_="">
    <xsd:import namespace="5730b431-a29b-4192-9f58-310fd9ffd337"/>
    <xsd:import namespace="f76bb202-e0ee-44b5-81bd-1165e74daad9"/>
    <xsd:import namespace="ee622a62-f985-4472-a6f4-6a546ffa53e6"/>
    <xsd:element name="properties">
      <xsd:complexType>
        <xsd:sequence>
          <xsd:element name="documentManagement">
            <xsd:complexType>
              <xsd:all>
                <xsd:element ref="ns2:_dlc_DocId" minOccurs="0"/>
                <xsd:element ref="ns2:_dlc_DocIdUrl" minOccurs="0"/>
                <xsd:element ref="ns2:_dlc_DocIdPersistId" minOccurs="0"/>
                <xsd:element ref="ns3:Site" minOccurs="0"/>
                <xsd:element ref="ns3:Document_x0020_Set_x0020_Status" minOccurs="0"/>
                <xsd:element ref="ns3:Library" minOccurs="0"/>
                <xsd:element ref="ns3:Entity"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MediaServiceSearchPropertie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0b431-a29b-4192-9f58-310fd9ffd3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Site" ma:index="11" nillable="true" ma:displayName="Site" ma:default="NRT Executive Management (Teams)" ma:hidden="true" ma:internalName="Site" ma:readOnly="false">
      <xsd:simpleType>
        <xsd:restriction base="dms:Text">
          <xsd:maxLength value="255"/>
        </xsd:restriction>
      </xsd:simpleType>
    </xsd:element>
    <xsd:element name="Document_x0020_Set_x0020_Status" ma:index="12" nillable="true" ma:displayName="Document Set Status" ma:default="Active" ma:format="Dropdown" ma:internalName="Document_x0020_Set_x0020_Status">
      <xsd:simpleType>
        <xsd:restriction base="dms:Choice">
          <xsd:enumeration value="Active"/>
          <xsd:enumeration value="Closed"/>
        </xsd:restriction>
      </xsd:simpleType>
    </xsd:element>
    <xsd:element name="Library" ma:index="13" nillable="true" ma:displayName="Library" ma:default="Meetings" ma:hidden="true" ma:internalName="Library" ma:readOnly="false">
      <xsd:simpleType>
        <xsd:restriction base="dms:Text">
          <xsd:maxLength value="255"/>
        </xsd:restriction>
      </xsd:simpleType>
    </xsd:element>
    <xsd:element name="Entity" ma:index="14" nillable="true" ma:displayName="Entity" ma:default="NR TAFE" ma:hidden="true" ma:internalName="Ent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22a62-f985-4472-a6f4-6a546ffa53e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ntity xmlns="f76bb202-e0ee-44b5-81bd-1165e74daad9">NR TAFE</Entity>
    <Site xmlns="f76bb202-e0ee-44b5-81bd-1165e74daad9">NRT Executive Management (Teams)</Site>
    <Document_x0020_Set_x0020_Status xmlns="f76bb202-e0ee-44b5-81bd-1165e74daad9">Active</Document_x0020_Set_x0020_Status>
    <Library xmlns="f76bb202-e0ee-44b5-81bd-1165e74daad9">Meetings</Library>
    <_dlc_DocId xmlns="5730b431-a29b-4192-9f58-310fd9ffd337">QFT7QWXRDDZK-459569862-700</_dlc_DocId>
    <_dlc_DocIdUrl xmlns="5730b431-a29b-4192-9f58-310fd9ffd337">
      <Url>https://tafewa.sharepoint.com/sites/NRT_Executive_Management_Teams/_layouts/15/DocIdRedir.aspx?ID=QFT7QWXRDDZK-459569862-700</Url>
      <Description>QFT7QWXRDDZK-459569862-700</Description>
    </_dlc_DocIdUrl>
    <SharedWithUsers xmlns="5730b431-a29b-4192-9f58-310fd9ffd337">
      <UserInfo>
        <DisplayName>Arleen Schmertz</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7DAF-0B84-401A-88DB-6FED8678E80F}">
  <ds:schemaRefs>
    <ds:schemaRef ds:uri="http://schemas.microsoft.com/sharepoint/v3/contenttype/forms"/>
  </ds:schemaRefs>
</ds:datastoreItem>
</file>

<file path=customXml/itemProps2.xml><?xml version="1.0" encoding="utf-8"?>
<ds:datastoreItem xmlns:ds="http://schemas.openxmlformats.org/officeDocument/2006/customXml" ds:itemID="{A2452892-E557-43E1-B228-E1F6100D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0b431-a29b-4192-9f58-310fd9ffd337"/>
    <ds:schemaRef ds:uri="f76bb202-e0ee-44b5-81bd-1165e74daad9"/>
    <ds:schemaRef ds:uri="ee622a62-f985-4472-a6f4-6a546ffa5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BF5F8-1E08-4DF7-BBEA-9D3444E5577B}">
  <ds:schemaRefs>
    <ds:schemaRef ds:uri="http://schemas.microsoft.com/sharepoint/events"/>
  </ds:schemaRefs>
</ds:datastoreItem>
</file>

<file path=customXml/itemProps4.xml><?xml version="1.0" encoding="utf-8"?>
<ds:datastoreItem xmlns:ds="http://schemas.openxmlformats.org/officeDocument/2006/customXml" ds:itemID="{D3EF0CC6-ACB0-4A50-B8FD-BF50D68E2982}">
  <ds:schemaRefs>
    <ds:schemaRef ds:uri="http://schemas.microsoft.com/office/2006/metadata/properties"/>
    <ds:schemaRef ds:uri="http://schemas.microsoft.com/office/infopath/2007/PartnerControls"/>
    <ds:schemaRef ds:uri="f76bb202-e0ee-44b5-81bd-1165e74daad9"/>
    <ds:schemaRef ds:uri="5730b431-a29b-4192-9f58-310fd9ffd337"/>
  </ds:schemaRefs>
</ds:datastoreItem>
</file>

<file path=customXml/itemProps5.xml><?xml version="1.0" encoding="utf-8"?>
<ds:datastoreItem xmlns:ds="http://schemas.openxmlformats.org/officeDocument/2006/customXml" ds:itemID="{041523DB-142E-45BB-967B-2DB1CF68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Sorensen</dc:creator>
  <cp:keywords/>
  <dc:description/>
  <cp:lastModifiedBy>Keely Duffield</cp:lastModifiedBy>
  <cp:revision>2</cp:revision>
  <dcterms:created xsi:type="dcterms:W3CDTF">2024-05-17T01:29:00Z</dcterms:created>
  <dcterms:modified xsi:type="dcterms:W3CDTF">2024-05-17T01:29:00Z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0x0101002854C4B304C1FB4B93E4572D5D568DE3</vt:lpwstr>
  </property>
  <property fmtid="{D5CDD505-2E9C-101B-9397-08002B2CF9AE}" pid="3" name="_dlc_DocIdItemGuid">
    <vt:lpwstr>f6814f6d-1ddc-4d3b-8158-fea052061b88</vt:lpwstr>
  </property>
  <property fmtid="{D5CDD505-2E9C-101B-9397-08002B2CF9AE}" pid="4" name="_docset_NoMedatataSyncRequired">
    <vt:lpwstr>False</vt:lpwstr>
  </property>
</Properties>
</file>